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C24B" w14:textId="4BA481F1" w:rsidR="00332C17" w:rsidRDefault="00042469" w:rsidP="00466172">
      <w:pPr>
        <w:jc w:val="center"/>
        <w:rPr>
          <w:rFonts w:ascii="Times New Roman" w:hAnsi="Times New Roman" w:cs="Times New Roman"/>
          <w:b/>
          <w:sz w:val="28"/>
          <w:szCs w:val="28"/>
        </w:rPr>
      </w:pPr>
      <w:r w:rsidRPr="00801723">
        <w:rPr>
          <w:rFonts w:ascii="Times New Roman" w:hAnsi="Times New Roman" w:cs="Times New Roman"/>
          <w:b/>
          <w:sz w:val="28"/>
          <w:szCs w:val="28"/>
        </w:rPr>
        <w:t xml:space="preserve">Numeracy </w:t>
      </w:r>
      <w:r w:rsidR="00AF0216" w:rsidRPr="00801723">
        <w:rPr>
          <w:rFonts w:ascii="Times New Roman" w:hAnsi="Times New Roman" w:cs="Times New Roman"/>
          <w:b/>
          <w:sz w:val="28"/>
          <w:szCs w:val="28"/>
        </w:rPr>
        <w:t>and Decision Making</w:t>
      </w:r>
    </w:p>
    <w:p w14:paraId="1EA5A61D" w14:textId="77777777" w:rsidR="006410E8" w:rsidRDefault="006410E8" w:rsidP="00466172">
      <w:pPr>
        <w:jc w:val="center"/>
        <w:rPr>
          <w:rFonts w:ascii="Times New Roman" w:hAnsi="Times New Roman" w:cs="Times New Roman"/>
          <w:b/>
          <w:sz w:val="28"/>
          <w:szCs w:val="28"/>
        </w:rPr>
      </w:pPr>
    </w:p>
    <w:p w14:paraId="53E277FA" w14:textId="32218C69" w:rsidR="006410E8" w:rsidRDefault="006410E8" w:rsidP="006410E8">
      <w:pPr>
        <w:rPr>
          <w:rFonts w:ascii="Times New Roman" w:hAnsi="Times New Roman" w:cs="Times New Roman"/>
          <w:b/>
          <w:sz w:val="28"/>
          <w:szCs w:val="28"/>
        </w:rPr>
      </w:pPr>
      <w:r>
        <w:rPr>
          <w:rFonts w:ascii="Times New Roman" w:hAnsi="Times New Roman" w:cs="Times New Roman"/>
          <w:b/>
          <w:sz w:val="28"/>
          <w:szCs w:val="28"/>
        </w:rPr>
        <w:t>Authors/Institutions</w:t>
      </w:r>
    </w:p>
    <w:p w14:paraId="29EACD5E" w14:textId="6B13BCE4" w:rsidR="00C57A5A" w:rsidRDefault="00627439" w:rsidP="006410E8">
      <w:pPr>
        <w:rPr>
          <w:rFonts w:ascii="Times New Roman" w:hAnsi="Times New Roman" w:cs="Times New Roman"/>
          <w:sz w:val="28"/>
          <w:szCs w:val="28"/>
        </w:rPr>
      </w:pPr>
      <w:r>
        <w:rPr>
          <w:rFonts w:ascii="Times New Roman" w:hAnsi="Times New Roman" w:cs="Times New Roman"/>
          <w:sz w:val="28"/>
          <w:szCs w:val="28"/>
        </w:rPr>
        <w:t>Joselyn Hathaway</w:t>
      </w:r>
    </w:p>
    <w:p w14:paraId="62E7A0E1" w14:textId="76161E97" w:rsidR="00627439" w:rsidRDefault="00627439" w:rsidP="006410E8">
      <w:pPr>
        <w:rPr>
          <w:rFonts w:ascii="Times New Roman" w:hAnsi="Times New Roman" w:cs="Times New Roman"/>
          <w:sz w:val="28"/>
          <w:szCs w:val="28"/>
        </w:rPr>
      </w:pPr>
      <w:r>
        <w:rPr>
          <w:rFonts w:ascii="Times New Roman" w:hAnsi="Times New Roman" w:cs="Times New Roman"/>
          <w:sz w:val="28"/>
          <w:szCs w:val="28"/>
        </w:rPr>
        <w:t>Elizabeth City State University</w:t>
      </w:r>
    </w:p>
    <w:p w14:paraId="617C3BFC" w14:textId="3CC8CB4C" w:rsidR="00627439" w:rsidRDefault="00627439" w:rsidP="006410E8">
      <w:pPr>
        <w:rPr>
          <w:rFonts w:ascii="Times New Roman" w:hAnsi="Times New Roman" w:cs="Times New Roman"/>
          <w:sz w:val="28"/>
          <w:szCs w:val="28"/>
        </w:rPr>
      </w:pPr>
      <w:r w:rsidRPr="009210D8">
        <w:rPr>
          <w:rFonts w:ascii="Times New Roman" w:hAnsi="Times New Roman" w:cs="Times New Roman"/>
          <w:sz w:val="28"/>
          <w:szCs w:val="28"/>
        </w:rPr>
        <w:t>hathawayjoselyn@gmail.com</w:t>
      </w:r>
    </w:p>
    <w:p w14:paraId="49A08436" w14:textId="77777777" w:rsidR="00627439" w:rsidRDefault="00627439" w:rsidP="006410E8">
      <w:pPr>
        <w:rPr>
          <w:rFonts w:ascii="Times New Roman" w:hAnsi="Times New Roman" w:cs="Times New Roman"/>
          <w:sz w:val="28"/>
          <w:szCs w:val="28"/>
        </w:rPr>
      </w:pPr>
    </w:p>
    <w:p w14:paraId="5FB63618" w14:textId="5BFDD5AF" w:rsidR="00627439" w:rsidRDefault="00627439" w:rsidP="006410E8">
      <w:pPr>
        <w:rPr>
          <w:rFonts w:ascii="Times New Roman" w:hAnsi="Times New Roman" w:cs="Times New Roman"/>
          <w:sz w:val="28"/>
          <w:szCs w:val="28"/>
        </w:rPr>
      </w:pPr>
      <w:r>
        <w:rPr>
          <w:rFonts w:ascii="Times New Roman" w:hAnsi="Times New Roman" w:cs="Times New Roman"/>
          <w:sz w:val="28"/>
          <w:szCs w:val="28"/>
        </w:rPr>
        <w:t>Dr. Michael Serra</w:t>
      </w:r>
    </w:p>
    <w:p w14:paraId="6C463220" w14:textId="4FEA60F9" w:rsidR="00627439" w:rsidRDefault="00627439" w:rsidP="006410E8">
      <w:pPr>
        <w:rPr>
          <w:rFonts w:ascii="Times New Roman" w:hAnsi="Times New Roman" w:cs="Times New Roman"/>
          <w:sz w:val="28"/>
          <w:szCs w:val="28"/>
        </w:rPr>
      </w:pPr>
      <w:r>
        <w:rPr>
          <w:rFonts w:ascii="Times New Roman" w:hAnsi="Times New Roman" w:cs="Times New Roman"/>
          <w:sz w:val="28"/>
          <w:szCs w:val="28"/>
        </w:rPr>
        <w:t>Mentor</w:t>
      </w:r>
    </w:p>
    <w:p w14:paraId="33FB6F52" w14:textId="582203E2" w:rsidR="00627439" w:rsidRDefault="00627439" w:rsidP="006410E8">
      <w:pPr>
        <w:rPr>
          <w:rFonts w:ascii="Times New Roman" w:hAnsi="Times New Roman" w:cs="Times New Roman"/>
          <w:sz w:val="28"/>
          <w:szCs w:val="28"/>
        </w:rPr>
      </w:pPr>
      <w:r>
        <w:rPr>
          <w:rFonts w:ascii="Times New Roman" w:hAnsi="Times New Roman" w:cs="Times New Roman"/>
          <w:sz w:val="28"/>
          <w:szCs w:val="28"/>
        </w:rPr>
        <w:t>Texas Tech University</w:t>
      </w:r>
    </w:p>
    <w:p w14:paraId="6D971588" w14:textId="46F27F67" w:rsidR="00627439" w:rsidRDefault="009210D8" w:rsidP="006410E8">
      <w:pPr>
        <w:rPr>
          <w:rFonts w:ascii="Times New Roman" w:hAnsi="Times New Roman" w:cs="Times New Roman"/>
          <w:sz w:val="28"/>
          <w:szCs w:val="28"/>
        </w:rPr>
      </w:pPr>
      <w:proofErr w:type="gramStart"/>
      <w:r>
        <w:rPr>
          <w:rFonts w:ascii="Times New Roman" w:hAnsi="Times New Roman" w:cs="Times New Roman"/>
          <w:sz w:val="28"/>
          <w:szCs w:val="28"/>
        </w:rPr>
        <w:t>m</w:t>
      </w:r>
      <w:r w:rsidR="00627439" w:rsidRPr="009210D8">
        <w:rPr>
          <w:rFonts w:ascii="Times New Roman" w:hAnsi="Times New Roman" w:cs="Times New Roman"/>
          <w:sz w:val="28"/>
          <w:szCs w:val="28"/>
        </w:rPr>
        <w:t>ichael.serra@ttu.edu</w:t>
      </w:r>
      <w:proofErr w:type="gramEnd"/>
    </w:p>
    <w:p w14:paraId="75538167" w14:textId="77777777" w:rsidR="00627439" w:rsidRDefault="00627439" w:rsidP="006410E8">
      <w:pPr>
        <w:rPr>
          <w:rFonts w:ascii="Times New Roman" w:hAnsi="Times New Roman" w:cs="Times New Roman"/>
          <w:sz w:val="28"/>
          <w:szCs w:val="28"/>
        </w:rPr>
      </w:pPr>
    </w:p>
    <w:p w14:paraId="52585CF1" w14:textId="4D8C0DCD" w:rsidR="00627439" w:rsidRDefault="00627439" w:rsidP="006410E8">
      <w:pPr>
        <w:rPr>
          <w:rFonts w:ascii="Times New Roman" w:hAnsi="Times New Roman" w:cs="Times New Roman"/>
          <w:sz w:val="28"/>
          <w:szCs w:val="28"/>
        </w:rPr>
      </w:pPr>
      <w:r>
        <w:rPr>
          <w:rFonts w:ascii="Times New Roman" w:hAnsi="Times New Roman" w:cs="Times New Roman"/>
          <w:sz w:val="28"/>
          <w:szCs w:val="28"/>
        </w:rPr>
        <w:t xml:space="preserve">Dr. Pat </w:t>
      </w:r>
      <w:proofErr w:type="spellStart"/>
      <w:r>
        <w:rPr>
          <w:rFonts w:ascii="Times New Roman" w:hAnsi="Times New Roman" w:cs="Times New Roman"/>
          <w:sz w:val="28"/>
          <w:szCs w:val="28"/>
        </w:rPr>
        <w:t>Delucia</w:t>
      </w:r>
      <w:proofErr w:type="spellEnd"/>
    </w:p>
    <w:p w14:paraId="4A4B8076" w14:textId="34CC6DC4" w:rsidR="00627439" w:rsidRDefault="00627439" w:rsidP="006410E8">
      <w:pPr>
        <w:rPr>
          <w:rFonts w:ascii="Times New Roman" w:hAnsi="Times New Roman" w:cs="Times New Roman"/>
          <w:sz w:val="28"/>
          <w:szCs w:val="28"/>
        </w:rPr>
      </w:pPr>
      <w:r>
        <w:rPr>
          <w:rFonts w:ascii="Times New Roman" w:hAnsi="Times New Roman" w:cs="Times New Roman"/>
          <w:sz w:val="28"/>
          <w:szCs w:val="28"/>
        </w:rPr>
        <w:t>Principal Investigator</w:t>
      </w:r>
    </w:p>
    <w:p w14:paraId="10FA50A3" w14:textId="7301728E" w:rsidR="00627439" w:rsidRDefault="00627439" w:rsidP="006410E8">
      <w:pPr>
        <w:rPr>
          <w:rFonts w:ascii="Times New Roman" w:hAnsi="Times New Roman" w:cs="Times New Roman"/>
          <w:sz w:val="28"/>
          <w:szCs w:val="28"/>
        </w:rPr>
      </w:pPr>
      <w:r>
        <w:rPr>
          <w:rFonts w:ascii="Times New Roman" w:hAnsi="Times New Roman" w:cs="Times New Roman"/>
          <w:sz w:val="28"/>
          <w:szCs w:val="28"/>
        </w:rPr>
        <w:t>Texas Tech University</w:t>
      </w:r>
    </w:p>
    <w:p w14:paraId="604CC1A8" w14:textId="23B53927" w:rsidR="00D570E5" w:rsidRPr="00627439" w:rsidRDefault="009210D8" w:rsidP="006410E8">
      <w:pPr>
        <w:rPr>
          <w:rFonts w:ascii="Times New Roman" w:hAnsi="Times New Roman" w:cs="Times New Roman"/>
          <w:sz w:val="28"/>
          <w:szCs w:val="28"/>
        </w:rPr>
      </w:pPr>
      <w:proofErr w:type="gramStart"/>
      <w:r w:rsidRPr="009210D8">
        <w:rPr>
          <w:rFonts w:ascii="Times New Roman" w:hAnsi="Times New Roman" w:cs="Times New Roman"/>
          <w:sz w:val="28"/>
          <w:szCs w:val="28"/>
        </w:rPr>
        <w:t>pat.delucia@ttu.edu</w:t>
      </w:r>
      <w:proofErr w:type="gramEnd"/>
    </w:p>
    <w:p w14:paraId="1F3FA265" w14:textId="77777777" w:rsidR="00466172" w:rsidRPr="00801723" w:rsidRDefault="00466172" w:rsidP="00466172">
      <w:pPr>
        <w:jc w:val="center"/>
        <w:rPr>
          <w:rFonts w:ascii="Times New Roman" w:hAnsi="Times New Roman" w:cs="Times New Roman"/>
          <w:b/>
          <w:sz w:val="28"/>
          <w:szCs w:val="28"/>
        </w:rPr>
      </w:pPr>
    </w:p>
    <w:p w14:paraId="6745CCCA"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Abstract</w:t>
      </w:r>
    </w:p>
    <w:p w14:paraId="361E9771" w14:textId="77777777" w:rsidR="00AB262F" w:rsidRDefault="00E50044" w:rsidP="00466172">
      <w:pPr>
        <w:jc w:val="both"/>
        <w:rPr>
          <w:rFonts w:ascii="Times New Roman" w:hAnsi="Times New Roman" w:cs="Times New Roman"/>
          <w:sz w:val="28"/>
          <w:szCs w:val="28"/>
        </w:rPr>
      </w:pPr>
      <w:r w:rsidRPr="00801723">
        <w:rPr>
          <w:rFonts w:ascii="Times New Roman" w:hAnsi="Times New Roman" w:cs="Times New Roman"/>
          <w:sz w:val="28"/>
          <w:szCs w:val="28"/>
        </w:rPr>
        <w:t>Numeracy pertains to a person’s ability to understand numbers</w:t>
      </w:r>
      <w:r w:rsidRPr="006002F3">
        <w:rPr>
          <w:rFonts w:ascii="Times New Roman" w:hAnsi="Times New Roman" w:cs="Times New Roman"/>
          <w:sz w:val="28"/>
          <w:szCs w:val="28"/>
        </w:rPr>
        <w:t>.</w:t>
      </w:r>
      <w:r w:rsidR="006002F3">
        <w:rPr>
          <w:rFonts w:ascii="Times New Roman" w:hAnsi="Times New Roman" w:cs="Times New Roman"/>
          <w:sz w:val="28"/>
          <w:szCs w:val="28"/>
        </w:rPr>
        <w:t xml:space="preserve">  </w:t>
      </w:r>
      <w:r w:rsidRPr="006002F3">
        <w:rPr>
          <w:rFonts w:ascii="Times New Roman" w:hAnsi="Times New Roman" w:cs="Times New Roman"/>
          <w:sz w:val="28"/>
          <w:szCs w:val="28"/>
        </w:rPr>
        <w:t>A</w:t>
      </w:r>
      <w:r w:rsidRPr="00801723">
        <w:rPr>
          <w:rFonts w:ascii="Times New Roman" w:hAnsi="Times New Roman" w:cs="Times New Roman"/>
          <w:sz w:val="28"/>
          <w:szCs w:val="28"/>
        </w:rPr>
        <w:t xml:space="preserve"> person’s level of numeracy is developed as soon as they enter into grade school.  During that stage, people are learning the basic and essential </w:t>
      </w:r>
      <w:r w:rsidR="00D62186">
        <w:rPr>
          <w:rFonts w:ascii="Times New Roman" w:hAnsi="Times New Roman" w:cs="Times New Roman"/>
          <w:sz w:val="28"/>
          <w:szCs w:val="28"/>
        </w:rPr>
        <w:t xml:space="preserve">mathematical </w:t>
      </w:r>
      <w:r w:rsidRPr="00801723">
        <w:rPr>
          <w:rFonts w:ascii="Times New Roman" w:hAnsi="Times New Roman" w:cs="Times New Roman"/>
          <w:sz w:val="28"/>
          <w:szCs w:val="28"/>
        </w:rPr>
        <w:t xml:space="preserve">skills associated </w:t>
      </w:r>
      <w:r w:rsidR="00403CB3" w:rsidRPr="00801723">
        <w:rPr>
          <w:rFonts w:ascii="Times New Roman" w:hAnsi="Times New Roman" w:cs="Times New Roman"/>
          <w:sz w:val="28"/>
          <w:szCs w:val="28"/>
        </w:rPr>
        <w:t xml:space="preserve">with building their numeracy.  </w:t>
      </w:r>
      <w:r w:rsidR="00716E6F" w:rsidRPr="00801723">
        <w:rPr>
          <w:rFonts w:ascii="Times New Roman" w:hAnsi="Times New Roman" w:cs="Times New Roman"/>
          <w:sz w:val="28"/>
          <w:szCs w:val="28"/>
        </w:rPr>
        <w:t>When numeracy is associated with higher education, this focuses on adults and how they understand numbers.  Adults are also viewed as being numerate or innumerate.  Numerate means having a high level of understanding when using numbers while innumerate means having a low level of und</w:t>
      </w:r>
      <w:r w:rsidR="00AB262F">
        <w:rPr>
          <w:rFonts w:ascii="Times New Roman" w:hAnsi="Times New Roman" w:cs="Times New Roman"/>
          <w:sz w:val="28"/>
          <w:szCs w:val="28"/>
        </w:rPr>
        <w:t>erstanding when using numbers.</w:t>
      </w:r>
    </w:p>
    <w:p w14:paraId="1A841248" w14:textId="77777777" w:rsidR="00AB262F" w:rsidRDefault="00AB262F" w:rsidP="00466172">
      <w:pPr>
        <w:jc w:val="both"/>
        <w:rPr>
          <w:rFonts w:ascii="Times New Roman" w:hAnsi="Times New Roman" w:cs="Times New Roman"/>
          <w:sz w:val="28"/>
          <w:szCs w:val="28"/>
        </w:rPr>
      </w:pPr>
    </w:p>
    <w:p w14:paraId="7BCE41E3" w14:textId="4EA4920E" w:rsidR="00466172" w:rsidRPr="00801723" w:rsidRDefault="00716E6F" w:rsidP="00466172">
      <w:pPr>
        <w:jc w:val="both"/>
        <w:rPr>
          <w:rFonts w:ascii="Times New Roman" w:hAnsi="Times New Roman" w:cs="Times New Roman"/>
          <w:sz w:val="28"/>
          <w:szCs w:val="28"/>
        </w:rPr>
      </w:pPr>
      <w:r w:rsidRPr="00801723">
        <w:rPr>
          <w:rFonts w:ascii="Times New Roman" w:hAnsi="Times New Roman" w:cs="Times New Roman"/>
          <w:sz w:val="28"/>
          <w:szCs w:val="28"/>
        </w:rPr>
        <w:t>A person’s level of numeracy becomes important when facing real world situations and problems.  This is most commonly found in situations pertaining to probability</w:t>
      </w:r>
      <w:r w:rsidR="006002F3">
        <w:rPr>
          <w:rFonts w:ascii="Times New Roman" w:hAnsi="Times New Roman" w:cs="Times New Roman"/>
          <w:sz w:val="28"/>
          <w:szCs w:val="28"/>
        </w:rPr>
        <w:t xml:space="preserve"> and chance.  Probability and chance become a main focus every day because as soon as a person wakes up, they begin making decisions and weighing their options.  These decisions can range from something small such as deciding what to wear to something large such as scheduling what time to take certain medications.  </w:t>
      </w:r>
      <w:r w:rsidR="0016009A" w:rsidRPr="00801723">
        <w:rPr>
          <w:rFonts w:ascii="Times New Roman" w:hAnsi="Times New Roman" w:cs="Times New Roman"/>
          <w:sz w:val="28"/>
          <w:szCs w:val="28"/>
        </w:rPr>
        <w:t xml:space="preserve">Numeracy </w:t>
      </w:r>
      <w:r w:rsidR="00CE31AE">
        <w:rPr>
          <w:rFonts w:ascii="Times New Roman" w:hAnsi="Times New Roman" w:cs="Times New Roman"/>
          <w:sz w:val="28"/>
          <w:szCs w:val="28"/>
        </w:rPr>
        <w:t>is</w:t>
      </w:r>
      <w:r w:rsidR="0016009A" w:rsidRPr="00801723">
        <w:rPr>
          <w:rFonts w:ascii="Times New Roman" w:hAnsi="Times New Roman" w:cs="Times New Roman"/>
          <w:sz w:val="28"/>
          <w:szCs w:val="28"/>
        </w:rPr>
        <w:t xml:space="preserve"> e</w:t>
      </w:r>
      <w:r w:rsidR="00CE31AE">
        <w:rPr>
          <w:rFonts w:ascii="Times New Roman" w:hAnsi="Times New Roman" w:cs="Times New Roman"/>
          <w:sz w:val="28"/>
          <w:szCs w:val="28"/>
        </w:rPr>
        <w:t xml:space="preserve">ssential for everyday life considering there are many factors that can affect a </w:t>
      </w:r>
      <w:r w:rsidR="00054321">
        <w:rPr>
          <w:rFonts w:ascii="Times New Roman" w:hAnsi="Times New Roman" w:cs="Times New Roman"/>
          <w:sz w:val="28"/>
          <w:szCs w:val="28"/>
        </w:rPr>
        <w:t>person’s</w:t>
      </w:r>
      <w:r w:rsidR="00CE31AE">
        <w:rPr>
          <w:rFonts w:ascii="Times New Roman" w:hAnsi="Times New Roman" w:cs="Times New Roman"/>
          <w:sz w:val="28"/>
          <w:szCs w:val="28"/>
        </w:rPr>
        <w:t xml:space="preserve"> </w:t>
      </w:r>
      <w:r w:rsidR="008F4F5F">
        <w:rPr>
          <w:rFonts w:ascii="Times New Roman" w:hAnsi="Times New Roman" w:cs="Times New Roman"/>
          <w:sz w:val="28"/>
          <w:szCs w:val="28"/>
        </w:rPr>
        <w:t>decision-making</w:t>
      </w:r>
      <w:r w:rsidR="00054321">
        <w:rPr>
          <w:rFonts w:ascii="Times New Roman" w:hAnsi="Times New Roman" w:cs="Times New Roman"/>
          <w:sz w:val="28"/>
          <w:szCs w:val="28"/>
        </w:rPr>
        <w:t xml:space="preserve"> skills</w:t>
      </w:r>
      <w:r w:rsidR="00CE31AE">
        <w:rPr>
          <w:rFonts w:ascii="Times New Roman" w:hAnsi="Times New Roman" w:cs="Times New Roman"/>
          <w:sz w:val="28"/>
          <w:szCs w:val="28"/>
        </w:rPr>
        <w:t>.</w:t>
      </w:r>
    </w:p>
    <w:p w14:paraId="32C29FDF" w14:textId="77777777" w:rsidR="00466172" w:rsidRPr="00801723" w:rsidRDefault="00466172" w:rsidP="00466172">
      <w:pPr>
        <w:jc w:val="both"/>
        <w:rPr>
          <w:rFonts w:ascii="Times New Roman" w:hAnsi="Times New Roman" w:cs="Times New Roman"/>
          <w:sz w:val="28"/>
          <w:szCs w:val="28"/>
        </w:rPr>
      </w:pPr>
    </w:p>
    <w:p w14:paraId="21A5E275" w14:textId="7707A1D0" w:rsidR="00CE7B91" w:rsidRPr="00801723" w:rsidRDefault="00CE7B91" w:rsidP="00466172">
      <w:pPr>
        <w:jc w:val="both"/>
        <w:rPr>
          <w:rFonts w:ascii="Times New Roman" w:hAnsi="Times New Roman" w:cs="Times New Roman"/>
          <w:b/>
          <w:sz w:val="28"/>
          <w:szCs w:val="28"/>
        </w:rPr>
      </w:pPr>
      <w:r w:rsidRPr="00801723">
        <w:rPr>
          <w:rFonts w:ascii="Times New Roman" w:hAnsi="Times New Roman" w:cs="Times New Roman"/>
          <w:b/>
          <w:sz w:val="28"/>
          <w:szCs w:val="28"/>
        </w:rPr>
        <w:t>Key Words</w:t>
      </w:r>
    </w:p>
    <w:p w14:paraId="428AB18B" w14:textId="230F1253" w:rsidR="00042469" w:rsidRPr="00801723" w:rsidRDefault="00042469" w:rsidP="00466172">
      <w:pPr>
        <w:jc w:val="both"/>
        <w:rPr>
          <w:rFonts w:ascii="Times New Roman" w:hAnsi="Times New Roman" w:cs="Times New Roman"/>
          <w:sz w:val="28"/>
          <w:szCs w:val="28"/>
        </w:rPr>
      </w:pPr>
      <w:r w:rsidRPr="00801723">
        <w:rPr>
          <w:rFonts w:ascii="Times New Roman" w:hAnsi="Times New Roman" w:cs="Times New Roman"/>
          <w:sz w:val="28"/>
          <w:szCs w:val="28"/>
        </w:rPr>
        <w:t>Numeracy, Probabi</w:t>
      </w:r>
      <w:r w:rsidR="008830B0" w:rsidRPr="00801723">
        <w:rPr>
          <w:rFonts w:ascii="Times New Roman" w:hAnsi="Times New Roman" w:cs="Times New Roman"/>
          <w:sz w:val="28"/>
          <w:szCs w:val="28"/>
        </w:rPr>
        <w:t xml:space="preserve">lity, </w:t>
      </w:r>
      <w:proofErr w:type="spellStart"/>
      <w:r w:rsidR="008830B0" w:rsidRPr="00801723">
        <w:rPr>
          <w:rFonts w:ascii="Times New Roman" w:hAnsi="Times New Roman" w:cs="Times New Roman"/>
          <w:sz w:val="28"/>
          <w:szCs w:val="28"/>
        </w:rPr>
        <w:t>Judgement</w:t>
      </w:r>
      <w:proofErr w:type="spellEnd"/>
      <w:r w:rsidRPr="00801723">
        <w:rPr>
          <w:rFonts w:ascii="Times New Roman" w:hAnsi="Times New Roman" w:cs="Times New Roman"/>
          <w:sz w:val="28"/>
          <w:szCs w:val="28"/>
        </w:rPr>
        <w:t>, Mathematics</w:t>
      </w:r>
      <w:r w:rsidR="00C649E8">
        <w:rPr>
          <w:rFonts w:ascii="Times New Roman" w:hAnsi="Times New Roman" w:cs="Times New Roman"/>
          <w:sz w:val="28"/>
          <w:szCs w:val="28"/>
        </w:rPr>
        <w:t>, Decision Making</w:t>
      </w:r>
    </w:p>
    <w:p w14:paraId="73ED70A7" w14:textId="77777777" w:rsidR="00CE7B91" w:rsidRPr="00801723" w:rsidRDefault="00CE7B91" w:rsidP="00466172">
      <w:pPr>
        <w:jc w:val="both"/>
        <w:rPr>
          <w:rFonts w:ascii="Times New Roman" w:hAnsi="Times New Roman" w:cs="Times New Roman"/>
          <w:sz w:val="28"/>
          <w:szCs w:val="28"/>
        </w:rPr>
      </w:pPr>
    </w:p>
    <w:p w14:paraId="6F7BF1F8"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Introduction</w:t>
      </w:r>
    </w:p>
    <w:p w14:paraId="03D6C5A7" w14:textId="270BC450" w:rsidR="00E12E40" w:rsidRPr="00801723" w:rsidRDefault="00E12E40" w:rsidP="00466172">
      <w:pPr>
        <w:jc w:val="both"/>
        <w:rPr>
          <w:rFonts w:ascii="Times New Roman" w:hAnsi="Times New Roman" w:cs="Times New Roman"/>
          <w:sz w:val="28"/>
          <w:szCs w:val="28"/>
        </w:rPr>
      </w:pPr>
      <w:r w:rsidRPr="00801723">
        <w:rPr>
          <w:rFonts w:ascii="Times New Roman" w:hAnsi="Times New Roman" w:cs="Times New Roman"/>
          <w:sz w:val="28"/>
          <w:szCs w:val="28"/>
        </w:rPr>
        <w:t>Numeracy can be defined as the ability to process basic probability and numerical concepts [1].  Following this definition, people can be numerate which means they understand mathematical concepts, or they can be innumerate which mean they do not fully understand mathematical concepts.  Numeracy mainly focuses on probability and chance.  This becomes important when making decisions in every day life.</w:t>
      </w:r>
      <w:r w:rsidR="005C2908" w:rsidRPr="00801723">
        <w:rPr>
          <w:rFonts w:ascii="Times New Roman" w:hAnsi="Times New Roman" w:cs="Times New Roman"/>
          <w:sz w:val="28"/>
          <w:szCs w:val="28"/>
        </w:rPr>
        <w:t xml:space="preserve">  One common strategy that is commonly found in numeracy problems is framing.  Framing means that a problem is given to someone and it is related to a real world problem</w:t>
      </w:r>
      <w:r w:rsidR="00F256D8" w:rsidRPr="00801723">
        <w:rPr>
          <w:rFonts w:ascii="Times New Roman" w:hAnsi="Times New Roman" w:cs="Times New Roman"/>
          <w:sz w:val="28"/>
          <w:szCs w:val="28"/>
        </w:rPr>
        <w:t xml:space="preserve">, such as health risks, and influences someone to favor one side over the other.  </w:t>
      </w:r>
      <w:r w:rsidR="00D97625" w:rsidRPr="00801723">
        <w:rPr>
          <w:rFonts w:ascii="Times New Roman" w:hAnsi="Times New Roman" w:cs="Times New Roman"/>
          <w:sz w:val="28"/>
          <w:szCs w:val="28"/>
        </w:rPr>
        <w:t>Those with</w:t>
      </w:r>
      <w:r w:rsidR="00F256D8" w:rsidRPr="00801723">
        <w:rPr>
          <w:rFonts w:ascii="Times New Roman" w:hAnsi="Times New Roman" w:cs="Times New Roman"/>
          <w:sz w:val="28"/>
          <w:szCs w:val="28"/>
        </w:rPr>
        <w:t xml:space="preserve"> </w:t>
      </w:r>
      <w:r w:rsidR="00D97625" w:rsidRPr="00801723">
        <w:rPr>
          <w:rFonts w:ascii="Times New Roman" w:hAnsi="Times New Roman" w:cs="Times New Roman"/>
          <w:sz w:val="28"/>
          <w:szCs w:val="28"/>
        </w:rPr>
        <w:t>higher numeracy, have a reduced level of susceptibility to the framing of problems, are less influenced by nonnumeric information</w:t>
      </w:r>
      <w:r w:rsidR="00244149" w:rsidRPr="00801723">
        <w:rPr>
          <w:rFonts w:ascii="Times New Roman" w:hAnsi="Times New Roman" w:cs="Times New Roman"/>
          <w:sz w:val="28"/>
          <w:szCs w:val="28"/>
        </w:rPr>
        <w:t xml:space="preserve">, and </w:t>
      </w:r>
      <w:r w:rsidR="00D97625" w:rsidRPr="00801723">
        <w:rPr>
          <w:rFonts w:ascii="Times New Roman" w:hAnsi="Times New Roman" w:cs="Times New Roman"/>
          <w:sz w:val="28"/>
          <w:szCs w:val="28"/>
        </w:rPr>
        <w:t>are more sensitive to various levels of numerical risks</w:t>
      </w:r>
      <w:r w:rsidR="000562B8">
        <w:rPr>
          <w:rFonts w:ascii="Times New Roman" w:hAnsi="Times New Roman" w:cs="Times New Roman"/>
          <w:sz w:val="28"/>
          <w:szCs w:val="28"/>
        </w:rPr>
        <w:t xml:space="preserve"> [2</w:t>
      </w:r>
      <w:r w:rsidR="00375A90" w:rsidRPr="00801723">
        <w:rPr>
          <w:rFonts w:ascii="Times New Roman" w:hAnsi="Times New Roman" w:cs="Times New Roman"/>
          <w:sz w:val="28"/>
          <w:szCs w:val="28"/>
        </w:rPr>
        <w:t>]</w:t>
      </w:r>
      <w:r w:rsidR="00D97625" w:rsidRPr="00801723">
        <w:rPr>
          <w:rFonts w:ascii="Times New Roman" w:hAnsi="Times New Roman" w:cs="Times New Roman"/>
          <w:sz w:val="28"/>
          <w:szCs w:val="28"/>
        </w:rPr>
        <w:t>.</w:t>
      </w:r>
    </w:p>
    <w:p w14:paraId="00FEADA2" w14:textId="77777777" w:rsidR="00466172" w:rsidRPr="00801723" w:rsidRDefault="00466172" w:rsidP="00466172">
      <w:pPr>
        <w:jc w:val="both"/>
        <w:rPr>
          <w:rFonts w:ascii="Times New Roman" w:hAnsi="Times New Roman" w:cs="Times New Roman"/>
          <w:b/>
          <w:sz w:val="28"/>
          <w:szCs w:val="28"/>
        </w:rPr>
      </w:pPr>
    </w:p>
    <w:p w14:paraId="4557E11D"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Statement of Purpose</w:t>
      </w:r>
    </w:p>
    <w:p w14:paraId="7AD79F2C" w14:textId="507AC35B" w:rsidR="00CE7B91" w:rsidRPr="00801723" w:rsidRDefault="00CE7B91" w:rsidP="00466172">
      <w:pPr>
        <w:jc w:val="both"/>
        <w:rPr>
          <w:rFonts w:ascii="Times New Roman" w:hAnsi="Times New Roman" w:cs="Times New Roman"/>
          <w:sz w:val="28"/>
          <w:szCs w:val="28"/>
        </w:rPr>
      </w:pPr>
      <w:r w:rsidRPr="00801723">
        <w:rPr>
          <w:rFonts w:ascii="Times New Roman" w:hAnsi="Times New Roman" w:cs="Times New Roman"/>
          <w:sz w:val="28"/>
          <w:szCs w:val="28"/>
        </w:rPr>
        <w:t xml:space="preserve">The purpose of this research is to identify what numeracy is, how it pertains to </w:t>
      </w:r>
      <w:r w:rsidR="006D6D32" w:rsidRPr="00801723">
        <w:rPr>
          <w:rFonts w:ascii="Times New Roman" w:hAnsi="Times New Roman" w:cs="Times New Roman"/>
          <w:sz w:val="28"/>
          <w:szCs w:val="28"/>
        </w:rPr>
        <w:t>every day life</w:t>
      </w:r>
      <w:r w:rsidRPr="00801723">
        <w:rPr>
          <w:rFonts w:ascii="Times New Roman" w:hAnsi="Times New Roman" w:cs="Times New Roman"/>
          <w:sz w:val="28"/>
          <w:szCs w:val="28"/>
        </w:rPr>
        <w:t xml:space="preserve">, and why it is important in higher education.  </w:t>
      </w:r>
      <w:r w:rsidR="00756D80" w:rsidRPr="00801723">
        <w:rPr>
          <w:rFonts w:ascii="Times New Roman" w:hAnsi="Times New Roman" w:cs="Times New Roman"/>
          <w:sz w:val="28"/>
          <w:szCs w:val="28"/>
        </w:rPr>
        <w:t xml:space="preserve">This research will also </w:t>
      </w:r>
      <w:r w:rsidR="004B0F72">
        <w:rPr>
          <w:rFonts w:ascii="Times New Roman" w:hAnsi="Times New Roman" w:cs="Times New Roman"/>
          <w:sz w:val="28"/>
          <w:szCs w:val="28"/>
        </w:rPr>
        <w:t>examine</w:t>
      </w:r>
      <w:r w:rsidR="00756D80" w:rsidRPr="00801723">
        <w:rPr>
          <w:rFonts w:ascii="Times New Roman" w:hAnsi="Times New Roman" w:cs="Times New Roman"/>
          <w:sz w:val="28"/>
          <w:szCs w:val="28"/>
        </w:rPr>
        <w:t xml:space="preserve"> </w:t>
      </w:r>
      <w:r w:rsidR="004B0F72">
        <w:rPr>
          <w:rFonts w:ascii="Times New Roman" w:hAnsi="Times New Roman" w:cs="Times New Roman"/>
          <w:sz w:val="28"/>
          <w:szCs w:val="28"/>
        </w:rPr>
        <w:t xml:space="preserve">how </w:t>
      </w:r>
      <w:r w:rsidR="00756D80" w:rsidRPr="00801723">
        <w:rPr>
          <w:rFonts w:ascii="Times New Roman" w:hAnsi="Times New Roman" w:cs="Times New Roman"/>
          <w:sz w:val="28"/>
          <w:szCs w:val="28"/>
        </w:rPr>
        <w:t xml:space="preserve">participants </w:t>
      </w:r>
      <w:r w:rsidR="004B0F72">
        <w:rPr>
          <w:rFonts w:ascii="Times New Roman" w:hAnsi="Times New Roman" w:cs="Times New Roman"/>
          <w:sz w:val="28"/>
          <w:szCs w:val="28"/>
        </w:rPr>
        <w:t>respond to a series of questions related to determining their level of numeracy how they make decisions</w:t>
      </w:r>
      <w:r w:rsidR="00756D80" w:rsidRPr="00801723">
        <w:rPr>
          <w:rFonts w:ascii="Times New Roman" w:hAnsi="Times New Roman" w:cs="Times New Roman"/>
          <w:sz w:val="28"/>
          <w:szCs w:val="28"/>
        </w:rPr>
        <w:t>.  In order to collect data, we have created a survey that asks for the participants demographics followed by</w:t>
      </w:r>
      <w:r w:rsidR="0031707A" w:rsidRPr="00801723">
        <w:rPr>
          <w:rFonts w:ascii="Times New Roman" w:hAnsi="Times New Roman" w:cs="Times New Roman"/>
          <w:sz w:val="28"/>
          <w:szCs w:val="28"/>
        </w:rPr>
        <w:t xml:space="preserve"> a series of numeracy questions from previous studies </w:t>
      </w:r>
      <w:r w:rsidR="00756D80" w:rsidRPr="00801723">
        <w:rPr>
          <w:rFonts w:ascii="Times New Roman" w:hAnsi="Times New Roman" w:cs="Times New Roman"/>
          <w:sz w:val="28"/>
          <w:szCs w:val="28"/>
        </w:rPr>
        <w:t xml:space="preserve">related to </w:t>
      </w:r>
      <w:r w:rsidR="00042469" w:rsidRPr="00801723">
        <w:rPr>
          <w:rFonts w:ascii="Times New Roman" w:hAnsi="Times New Roman" w:cs="Times New Roman"/>
          <w:sz w:val="28"/>
          <w:szCs w:val="28"/>
        </w:rPr>
        <w:t xml:space="preserve">mathematics, </w:t>
      </w:r>
      <w:r w:rsidR="00756D80" w:rsidRPr="00801723">
        <w:rPr>
          <w:rFonts w:ascii="Times New Roman" w:hAnsi="Times New Roman" w:cs="Times New Roman"/>
          <w:sz w:val="28"/>
          <w:szCs w:val="28"/>
        </w:rPr>
        <w:t>probability, judgment, and quantities.  The survey and questions will be made avail</w:t>
      </w:r>
      <w:r w:rsidR="006D6D32" w:rsidRPr="00801723">
        <w:rPr>
          <w:rFonts w:ascii="Times New Roman" w:hAnsi="Times New Roman" w:cs="Times New Roman"/>
          <w:sz w:val="28"/>
          <w:szCs w:val="28"/>
        </w:rPr>
        <w:t>able to the participants through</w:t>
      </w:r>
      <w:r w:rsidR="0089564E" w:rsidRPr="00801723">
        <w:rPr>
          <w:rFonts w:ascii="Times New Roman" w:hAnsi="Times New Roman" w:cs="Times New Roman"/>
          <w:sz w:val="28"/>
          <w:szCs w:val="28"/>
        </w:rPr>
        <w:t xml:space="preserve"> </w:t>
      </w:r>
      <w:proofErr w:type="spellStart"/>
      <w:r w:rsidR="0089564E" w:rsidRPr="00801723">
        <w:rPr>
          <w:rFonts w:ascii="Times New Roman" w:hAnsi="Times New Roman" w:cs="Times New Roman"/>
          <w:sz w:val="28"/>
          <w:szCs w:val="28"/>
        </w:rPr>
        <w:t>Qualtrics</w:t>
      </w:r>
      <w:proofErr w:type="spellEnd"/>
      <w:r w:rsidR="004B0F72">
        <w:rPr>
          <w:rFonts w:ascii="Times New Roman" w:hAnsi="Times New Roman" w:cs="Times New Roman"/>
          <w:sz w:val="28"/>
          <w:szCs w:val="28"/>
        </w:rPr>
        <w:t xml:space="preserve"> and M</w:t>
      </w:r>
      <w:r w:rsidR="004C5BB7">
        <w:rPr>
          <w:rFonts w:ascii="Times New Roman" w:hAnsi="Times New Roman" w:cs="Times New Roman"/>
          <w:sz w:val="28"/>
          <w:szCs w:val="28"/>
        </w:rPr>
        <w:t xml:space="preserve">echanical </w:t>
      </w:r>
      <w:r w:rsidR="004B0F72">
        <w:rPr>
          <w:rFonts w:ascii="Times New Roman" w:hAnsi="Times New Roman" w:cs="Times New Roman"/>
          <w:sz w:val="28"/>
          <w:szCs w:val="28"/>
        </w:rPr>
        <w:t>TURK</w:t>
      </w:r>
      <w:r w:rsidR="004C5BB7">
        <w:rPr>
          <w:rFonts w:ascii="Times New Roman" w:hAnsi="Times New Roman" w:cs="Times New Roman"/>
          <w:sz w:val="28"/>
          <w:szCs w:val="28"/>
        </w:rPr>
        <w:t xml:space="preserve"> (MTURK)</w:t>
      </w:r>
      <w:r w:rsidR="0089564E" w:rsidRPr="00801723">
        <w:rPr>
          <w:rFonts w:ascii="Times New Roman" w:hAnsi="Times New Roman" w:cs="Times New Roman"/>
          <w:sz w:val="28"/>
          <w:szCs w:val="28"/>
        </w:rPr>
        <w:t>, an online survey</w:t>
      </w:r>
      <w:r w:rsidR="00867C36" w:rsidRPr="00801723">
        <w:rPr>
          <w:rFonts w:ascii="Times New Roman" w:hAnsi="Times New Roman" w:cs="Times New Roman"/>
          <w:sz w:val="28"/>
          <w:szCs w:val="28"/>
        </w:rPr>
        <w:t>ing</w:t>
      </w:r>
      <w:r w:rsidR="0089564E" w:rsidRPr="00801723">
        <w:rPr>
          <w:rFonts w:ascii="Times New Roman" w:hAnsi="Times New Roman" w:cs="Times New Roman"/>
          <w:sz w:val="28"/>
          <w:szCs w:val="28"/>
        </w:rPr>
        <w:t xml:space="preserve"> system.</w:t>
      </w:r>
    </w:p>
    <w:p w14:paraId="5763F764" w14:textId="77777777" w:rsidR="00466172" w:rsidRPr="00801723" w:rsidRDefault="00466172" w:rsidP="00466172">
      <w:pPr>
        <w:jc w:val="both"/>
        <w:rPr>
          <w:rFonts w:ascii="Times New Roman" w:hAnsi="Times New Roman" w:cs="Times New Roman"/>
          <w:b/>
          <w:sz w:val="28"/>
          <w:szCs w:val="28"/>
        </w:rPr>
      </w:pPr>
    </w:p>
    <w:p w14:paraId="3116A52D"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Research Questions</w:t>
      </w:r>
    </w:p>
    <w:p w14:paraId="428A6D59" w14:textId="75239F5A" w:rsidR="00253B48" w:rsidRPr="004A2048" w:rsidRDefault="00B6629E" w:rsidP="004A2048">
      <w:pPr>
        <w:pStyle w:val="ListParagraph"/>
        <w:numPr>
          <w:ilvl w:val="0"/>
          <w:numId w:val="1"/>
        </w:numPr>
        <w:jc w:val="both"/>
        <w:rPr>
          <w:rFonts w:ascii="Times New Roman" w:hAnsi="Times New Roman" w:cs="Times New Roman"/>
          <w:sz w:val="28"/>
          <w:szCs w:val="28"/>
        </w:rPr>
      </w:pPr>
      <w:r w:rsidRPr="004A2048">
        <w:rPr>
          <w:rFonts w:ascii="Times New Roman" w:hAnsi="Times New Roman" w:cs="Times New Roman"/>
          <w:sz w:val="28"/>
          <w:szCs w:val="28"/>
        </w:rPr>
        <w:t>How d</w:t>
      </w:r>
      <w:r w:rsidR="004A2048">
        <w:rPr>
          <w:rFonts w:ascii="Times New Roman" w:hAnsi="Times New Roman" w:cs="Times New Roman"/>
          <w:sz w:val="28"/>
          <w:szCs w:val="28"/>
        </w:rPr>
        <w:t>oes numeracy relate to decision-</w:t>
      </w:r>
      <w:r w:rsidRPr="004A2048">
        <w:rPr>
          <w:rFonts w:ascii="Times New Roman" w:hAnsi="Times New Roman" w:cs="Times New Roman"/>
          <w:sz w:val="28"/>
          <w:szCs w:val="28"/>
        </w:rPr>
        <w:t>making?</w:t>
      </w:r>
    </w:p>
    <w:p w14:paraId="65600537" w14:textId="6D960C61" w:rsidR="00253B48" w:rsidRPr="004A2048" w:rsidRDefault="00B6629E" w:rsidP="004A2048">
      <w:pPr>
        <w:pStyle w:val="ListParagraph"/>
        <w:numPr>
          <w:ilvl w:val="0"/>
          <w:numId w:val="1"/>
        </w:numPr>
        <w:jc w:val="both"/>
        <w:rPr>
          <w:rFonts w:ascii="Times New Roman" w:hAnsi="Times New Roman" w:cs="Times New Roman"/>
          <w:sz w:val="28"/>
          <w:szCs w:val="28"/>
        </w:rPr>
      </w:pPr>
      <w:r w:rsidRPr="004A2048">
        <w:rPr>
          <w:rFonts w:ascii="Times New Roman" w:hAnsi="Times New Roman" w:cs="Times New Roman"/>
          <w:sz w:val="28"/>
          <w:szCs w:val="28"/>
        </w:rPr>
        <w:t>How do reaction times affect judgm</w:t>
      </w:r>
      <w:r w:rsidR="004A2048">
        <w:rPr>
          <w:rFonts w:ascii="Times New Roman" w:hAnsi="Times New Roman" w:cs="Times New Roman"/>
          <w:sz w:val="28"/>
          <w:szCs w:val="28"/>
        </w:rPr>
        <w:t>ent and decision-</w:t>
      </w:r>
      <w:r w:rsidRPr="004A2048">
        <w:rPr>
          <w:rFonts w:ascii="Times New Roman" w:hAnsi="Times New Roman" w:cs="Times New Roman"/>
          <w:sz w:val="28"/>
          <w:szCs w:val="28"/>
        </w:rPr>
        <w:t>making?</w:t>
      </w:r>
    </w:p>
    <w:p w14:paraId="23E4A545" w14:textId="77777777" w:rsidR="006D6D32" w:rsidRPr="00801723" w:rsidRDefault="006D6D32" w:rsidP="006D6D32">
      <w:pPr>
        <w:jc w:val="both"/>
        <w:rPr>
          <w:rFonts w:ascii="Times New Roman" w:hAnsi="Times New Roman" w:cs="Times New Roman"/>
          <w:sz w:val="28"/>
          <w:szCs w:val="28"/>
        </w:rPr>
      </w:pPr>
    </w:p>
    <w:p w14:paraId="333EB772"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Methodology</w:t>
      </w:r>
    </w:p>
    <w:p w14:paraId="060FBC92" w14:textId="587D9351" w:rsidR="00D0633C" w:rsidRDefault="00A60E08" w:rsidP="00466172">
      <w:pPr>
        <w:jc w:val="both"/>
        <w:rPr>
          <w:rFonts w:ascii="Times New Roman" w:hAnsi="Times New Roman" w:cs="Times New Roman"/>
          <w:sz w:val="28"/>
          <w:szCs w:val="28"/>
        </w:rPr>
      </w:pPr>
      <w:r>
        <w:rPr>
          <w:rFonts w:ascii="Times New Roman" w:hAnsi="Times New Roman" w:cs="Times New Roman"/>
          <w:sz w:val="28"/>
          <w:szCs w:val="28"/>
        </w:rPr>
        <w:t xml:space="preserve">This study was based on 4 </w:t>
      </w:r>
      <w:r w:rsidR="000F4953">
        <w:rPr>
          <w:rFonts w:ascii="Times New Roman" w:hAnsi="Times New Roman" w:cs="Times New Roman"/>
          <w:sz w:val="28"/>
          <w:szCs w:val="28"/>
        </w:rPr>
        <w:t>p</w:t>
      </w:r>
      <w:r>
        <w:rPr>
          <w:rFonts w:ascii="Times New Roman" w:hAnsi="Times New Roman" w:cs="Times New Roman"/>
          <w:sz w:val="28"/>
          <w:szCs w:val="28"/>
        </w:rPr>
        <w:t>revious studies</w:t>
      </w:r>
      <w:r w:rsidR="000F4953">
        <w:rPr>
          <w:rFonts w:ascii="Times New Roman" w:hAnsi="Times New Roman" w:cs="Times New Roman"/>
          <w:sz w:val="28"/>
          <w:szCs w:val="28"/>
        </w:rPr>
        <w:t xml:space="preserve"> by Ellen Peters</w:t>
      </w:r>
      <w:r w:rsidR="008C557A">
        <w:rPr>
          <w:rFonts w:ascii="Times New Roman" w:hAnsi="Times New Roman" w:cs="Times New Roman"/>
          <w:sz w:val="28"/>
          <w:szCs w:val="28"/>
        </w:rPr>
        <w:t xml:space="preserve"> (et. al)</w:t>
      </w:r>
      <w:r w:rsidR="000F4953">
        <w:rPr>
          <w:rFonts w:ascii="Times New Roman" w:hAnsi="Times New Roman" w:cs="Times New Roman"/>
          <w:sz w:val="28"/>
          <w:szCs w:val="28"/>
        </w:rPr>
        <w:t xml:space="preserve"> that focused on a series of questions intended to measure a </w:t>
      </w:r>
      <w:proofErr w:type="gramStart"/>
      <w:r w:rsidR="000F4953">
        <w:rPr>
          <w:rFonts w:ascii="Times New Roman" w:hAnsi="Times New Roman" w:cs="Times New Roman"/>
          <w:sz w:val="28"/>
          <w:szCs w:val="28"/>
        </w:rPr>
        <w:t>persons</w:t>
      </w:r>
      <w:proofErr w:type="gramEnd"/>
      <w:r w:rsidR="000F4953">
        <w:rPr>
          <w:rFonts w:ascii="Times New Roman" w:hAnsi="Times New Roman" w:cs="Times New Roman"/>
          <w:sz w:val="28"/>
          <w:szCs w:val="28"/>
        </w:rPr>
        <w:t xml:space="preserve"> level of numeracy.  </w:t>
      </w:r>
      <w:r w:rsidR="00B01568">
        <w:rPr>
          <w:rFonts w:ascii="Times New Roman" w:hAnsi="Times New Roman" w:cs="Times New Roman"/>
          <w:sz w:val="28"/>
          <w:szCs w:val="28"/>
        </w:rPr>
        <w:t xml:space="preserve">The questions used in the survey were based on two scales, the </w:t>
      </w:r>
      <w:proofErr w:type="spellStart"/>
      <w:r w:rsidR="00B01568">
        <w:rPr>
          <w:rFonts w:ascii="Times New Roman" w:hAnsi="Times New Roman" w:cs="Times New Roman"/>
          <w:sz w:val="28"/>
          <w:szCs w:val="28"/>
        </w:rPr>
        <w:t>Lipkus</w:t>
      </w:r>
      <w:proofErr w:type="spellEnd"/>
      <w:r w:rsidR="00B01568">
        <w:rPr>
          <w:rFonts w:ascii="Times New Roman" w:hAnsi="Times New Roman" w:cs="Times New Roman"/>
          <w:sz w:val="28"/>
          <w:szCs w:val="28"/>
        </w:rPr>
        <w:t xml:space="preserve"> scale and the Berlin Scale.  These two scales consisted of questions that were based on probability, chance, quantitative representation, </w:t>
      </w:r>
      <w:proofErr w:type="spellStart"/>
      <w:r w:rsidR="00B01568">
        <w:rPr>
          <w:rFonts w:ascii="Times New Roman" w:hAnsi="Times New Roman" w:cs="Times New Roman"/>
          <w:sz w:val="28"/>
          <w:szCs w:val="28"/>
        </w:rPr>
        <w:t>judgement</w:t>
      </w:r>
      <w:proofErr w:type="spellEnd"/>
      <w:r w:rsidR="00B01568">
        <w:rPr>
          <w:rFonts w:ascii="Times New Roman" w:hAnsi="Times New Roman" w:cs="Times New Roman"/>
          <w:sz w:val="28"/>
          <w:szCs w:val="28"/>
        </w:rPr>
        <w:t>, and rating.</w:t>
      </w:r>
      <w:r w:rsidR="003071E6">
        <w:rPr>
          <w:rFonts w:ascii="Times New Roman" w:hAnsi="Times New Roman" w:cs="Times New Roman"/>
          <w:sz w:val="28"/>
          <w:szCs w:val="28"/>
        </w:rPr>
        <w:t xml:space="preserve">  </w:t>
      </w:r>
      <w:r w:rsidR="00611EAA">
        <w:rPr>
          <w:rFonts w:ascii="Times New Roman" w:hAnsi="Times New Roman" w:cs="Times New Roman"/>
          <w:sz w:val="28"/>
          <w:szCs w:val="28"/>
        </w:rPr>
        <w:t xml:space="preserve">Approaches that contributed to the </w:t>
      </w:r>
      <w:proofErr w:type="spellStart"/>
      <w:r w:rsidR="00611EAA">
        <w:rPr>
          <w:rFonts w:ascii="Times New Roman" w:hAnsi="Times New Roman" w:cs="Times New Roman"/>
          <w:sz w:val="28"/>
          <w:szCs w:val="28"/>
        </w:rPr>
        <w:t>judgement</w:t>
      </w:r>
      <w:proofErr w:type="spellEnd"/>
      <w:r w:rsidR="00611EAA">
        <w:rPr>
          <w:rFonts w:ascii="Times New Roman" w:hAnsi="Times New Roman" w:cs="Times New Roman"/>
          <w:sz w:val="28"/>
          <w:szCs w:val="28"/>
        </w:rPr>
        <w:t xml:space="preserve"> and decision-making tasks were attribute framing, risk representation, affec</w:t>
      </w:r>
      <w:r w:rsidR="00D0633C">
        <w:rPr>
          <w:rFonts w:ascii="Times New Roman" w:hAnsi="Times New Roman" w:cs="Times New Roman"/>
          <w:sz w:val="28"/>
          <w:szCs w:val="28"/>
        </w:rPr>
        <w:t>tive information, and betting.</w:t>
      </w:r>
    </w:p>
    <w:p w14:paraId="3E028BCA" w14:textId="77777777" w:rsidR="00D0633C" w:rsidRDefault="00D0633C" w:rsidP="00466172">
      <w:pPr>
        <w:jc w:val="both"/>
        <w:rPr>
          <w:rFonts w:ascii="Times New Roman" w:hAnsi="Times New Roman" w:cs="Times New Roman"/>
          <w:sz w:val="28"/>
          <w:szCs w:val="28"/>
        </w:rPr>
      </w:pPr>
    </w:p>
    <w:p w14:paraId="08104F95" w14:textId="24C1E889" w:rsidR="00466172" w:rsidRPr="003B09CB" w:rsidRDefault="00611EAA" w:rsidP="00466172">
      <w:pPr>
        <w:jc w:val="both"/>
        <w:rPr>
          <w:rFonts w:ascii="Times New Roman" w:hAnsi="Times New Roman" w:cs="Times New Roman"/>
          <w:sz w:val="28"/>
          <w:szCs w:val="28"/>
        </w:rPr>
      </w:pPr>
      <w:r>
        <w:rPr>
          <w:rFonts w:ascii="Times New Roman" w:hAnsi="Times New Roman" w:cs="Times New Roman"/>
          <w:sz w:val="28"/>
          <w:szCs w:val="28"/>
        </w:rPr>
        <w:t>We also gave questions and a vignette that related number representation to real life situations in order to show the application of numbers and to see how the participants interpreted the information.</w:t>
      </w:r>
      <w:r w:rsidR="004C3392">
        <w:rPr>
          <w:rFonts w:ascii="Times New Roman" w:hAnsi="Times New Roman" w:cs="Times New Roman"/>
          <w:sz w:val="28"/>
          <w:szCs w:val="28"/>
        </w:rPr>
        <w:t xml:space="preserve">  In order to get a broad </w:t>
      </w:r>
      <w:r w:rsidR="00C649E8">
        <w:rPr>
          <w:rFonts w:ascii="Times New Roman" w:hAnsi="Times New Roman" w:cs="Times New Roman"/>
          <w:sz w:val="28"/>
          <w:szCs w:val="28"/>
        </w:rPr>
        <w:t>selection of</w:t>
      </w:r>
      <w:r w:rsidR="004C3392">
        <w:rPr>
          <w:rFonts w:ascii="Times New Roman" w:hAnsi="Times New Roman" w:cs="Times New Roman"/>
          <w:sz w:val="28"/>
          <w:szCs w:val="28"/>
        </w:rPr>
        <w:t xml:space="preserve"> results, we created a survey </w:t>
      </w:r>
      <w:r w:rsidR="00C649E8">
        <w:rPr>
          <w:rFonts w:ascii="Times New Roman" w:hAnsi="Times New Roman" w:cs="Times New Roman"/>
          <w:sz w:val="28"/>
          <w:szCs w:val="28"/>
        </w:rPr>
        <w:t xml:space="preserve">in </w:t>
      </w:r>
      <w:proofErr w:type="spellStart"/>
      <w:r w:rsidR="00C649E8">
        <w:rPr>
          <w:rFonts w:ascii="Times New Roman" w:hAnsi="Times New Roman" w:cs="Times New Roman"/>
          <w:sz w:val="28"/>
          <w:szCs w:val="28"/>
        </w:rPr>
        <w:t>Qualtrics</w:t>
      </w:r>
      <w:proofErr w:type="spellEnd"/>
      <w:r w:rsidR="00C649E8">
        <w:rPr>
          <w:rFonts w:ascii="Times New Roman" w:hAnsi="Times New Roman" w:cs="Times New Roman"/>
          <w:sz w:val="28"/>
          <w:szCs w:val="28"/>
        </w:rPr>
        <w:t xml:space="preserve">.  This allowed us to edit the type of responses we needed from the participants, whether </w:t>
      </w:r>
      <w:r w:rsidR="007068CF">
        <w:rPr>
          <w:rFonts w:ascii="Times New Roman" w:hAnsi="Times New Roman" w:cs="Times New Roman"/>
          <w:sz w:val="28"/>
          <w:szCs w:val="28"/>
        </w:rPr>
        <w:t>the questions</w:t>
      </w:r>
      <w:r w:rsidR="00C649E8">
        <w:rPr>
          <w:rFonts w:ascii="Times New Roman" w:hAnsi="Times New Roman" w:cs="Times New Roman"/>
          <w:sz w:val="28"/>
          <w:szCs w:val="28"/>
        </w:rPr>
        <w:t xml:space="preserve"> </w:t>
      </w:r>
      <w:r w:rsidR="007068CF">
        <w:rPr>
          <w:rFonts w:ascii="Times New Roman" w:hAnsi="Times New Roman" w:cs="Times New Roman"/>
          <w:sz w:val="28"/>
          <w:szCs w:val="28"/>
        </w:rPr>
        <w:t>were</w:t>
      </w:r>
      <w:r w:rsidR="0059500F">
        <w:rPr>
          <w:rFonts w:ascii="Times New Roman" w:hAnsi="Times New Roman" w:cs="Times New Roman"/>
          <w:sz w:val="28"/>
          <w:szCs w:val="28"/>
        </w:rPr>
        <w:t xml:space="preserve"> multiple choice, open-ended response, or a rating scale.</w:t>
      </w:r>
    </w:p>
    <w:p w14:paraId="5B93260B" w14:textId="77777777" w:rsidR="00B01568" w:rsidRPr="00801723" w:rsidRDefault="00B01568" w:rsidP="00466172">
      <w:pPr>
        <w:jc w:val="both"/>
        <w:rPr>
          <w:rFonts w:ascii="Times New Roman" w:hAnsi="Times New Roman" w:cs="Times New Roman"/>
          <w:b/>
          <w:sz w:val="28"/>
          <w:szCs w:val="28"/>
        </w:rPr>
      </w:pPr>
    </w:p>
    <w:p w14:paraId="7D2B02FC" w14:textId="761E6971" w:rsidR="00952C3E"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Research Participants</w:t>
      </w:r>
    </w:p>
    <w:p w14:paraId="7ABDB5D4" w14:textId="52B5230C" w:rsidR="00466172" w:rsidRPr="003B09CB" w:rsidRDefault="00D42AB3" w:rsidP="00466172">
      <w:pPr>
        <w:jc w:val="both"/>
        <w:rPr>
          <w:rFonts w:ascii="Times New Roman" w:hAnsi="Times New Roman" w:cs="Times New Roman"/>
          <w:color w:val="FF0000"/>
          <w:sz w:val="28"/>
          <w:szCs w:val="28"/>
        </w:rPr>
      </w:pPr>
      <w:r>
        <w:rPr>
          <w:rFonts w:ascii="Times New Roman" w:hAnsi="Times New Roman" w:cs="Times New Roman"/>
          <w:sz w:val="28"/>
          <w:szCs w:val="28"/>
        </w:rPr>
        <w:t xml:space="preserve">Our research consisted of </w:t>
      </w:r>
      <w:r w:rsidR="009D50D8">
        <w:rPr>
          <w:rFonts w:ascii="Times New Roman" w:hAnsi="Times New Roman" w:cs="Times New Roman"/>
          <w:sz w:val="28"/>
          <w:szCs w:val="28"/>
        </w:rPr>
        <w:t>a total of 234</w:t>
      </w:r>
      <w:r w:rsidR="006753F6">
        <w:rPr>
          <w:rFonts w:ascii="Times New Roman" w:hAnsi="Times New Roman" w:cs="Times New Roman"/>
          <w:sz w:val="28"/>
          <w:szCs w:val="28"/>
        </w:rPr>
        <w:t xml:space="preserve"> participants that va</w:t>
      </w:r>
      <w:r w:rsidR="00346467">
        <w:rPr>
          <w:rFonts w:ascii="Times New Roman" w:hAnsi="Times New Roman" w:cs="Times New Roman"/>
          <w:sz w:val="28"/>
          <w:szCs w:val="28"/>
        </w:rPr>
        <w:t xml:space="preserve">ried in age from 18 and older. </w:t>
      </w:r>
      <w:r w:rsidR="00A96723">
        <w:rPr>
          <w:rFonts w:ascii="Times New Roman" w:hAnsi="Times New Roman" w:cs="Times New Roman"/>
          <w:sz w:val="28"/>
          <w:szCs w:val="28"/>
        </w:rPr>
        <w:t xml:space="preserve">The </w:t>
      </w:r>
      <w:r w:rsidR="009D50D8">
        <w:rPr>
          <w:rFonts w:ascii="Times New Roman" w:hAnsi="Times New Roman" w:cs="Times New Roman"/>
          <w:sz w:val="28"/>
          <w:szCs w:val="28"/>
        </w:rPr>
        <w:t>data represented is from the 222</w:t>
      </w:r>
      <w:r w:rsidR="00A96723">
        <w:rPr>
          <w:rFonts w:ascii="Times New Roman" w:hAnsi="Times New Roman" w:cs="Times New Roman"/>
          <w:sz w:val="28"/>
          <w:szCs w:val="28"/>
        </w:rPr>
        <w:t xml:space="preserve"> participants who attempted all or a majority of the research questions.</w:t>
      </w:r>
      <w:r w:rsidR="00BB1636">
        <w:rPr>
          <w:rFonts w:ascii="Times New Roman" w:hAnsi="Times New Roman" w:cs="Times New Roman"/>
          <w:sz w:val="28"/>
          <w:szCs w:val="28"/>
        </w:rPr>
        <w:t xml:space="preserve">  </w:t>
      </w:r>
      <w:r w:rsidR="00FF30D8">
        <w:rPr>
          <w:rFonts w:ascii="Times New Roman" w:hAnsi="Times New Roman" w:cs="Times New Roman"/>
          <w:sz w:val="28"/>
          <w:szCs w:val="28"/>
        </w:rPr>
        <w:t xml:space="preserve">The </w:t>
      </w:r>
      <w:r w:rsidR="00543711">
        <w:rPr>
          <w:rFonts w:ascii="Times New Roman" w:hAnsi="Times New Roman" w:cs="Times New Roman"/>
          <w:sz w:val="28"/>
          <w:szCs w:val="28"/>
        </w:rPr>
        <w:t xml:space="preserve">frequency of our </w:t>
      </w:r>
      <w:proofErr w:type="spellStart"/>
      <w:r w:rsidR="00FF30D8">
        <w:rPr>
          <w:rFonts w:ascii="Times New Roman" w:hAnsi="Times New Roman" w:cs="Times New Roman"/>
          <w:sz w:val="28"/>
          <w:szCs w:val="28"/>
        </w:rPr>
        <w:t>zscore</w:t>
      </w:r>
      <w:proofErr w:type="spellEnd"/>
      <w:r w:rsidR="00FF30D8">
        <w:rPr>
          <w:rFonts w:ascii="Times New Roman" w:hAnsi="Times New Roman" w:cs="Times New Roman"/>
          <w:sz w:val="28"/>
          <w:szCs w:val="28"/>
        </w:rPr>
        <w:t xml:space="preserve"> was </w:t>
      </w:r>
      <w:r w:rsidR="00346B48">
        <w:rPr>
          <w:rFonts w:ascii="Times New Roman" w:hAnsi="Times New Roman" w:cs="Times New Roman"/>
          <w:sz w:val="28"/>
          <w:szCs w:val="28"/>
        </w:rPr>
        <w:t xml:space="preserve">12 </w:t>
      </w:r>
      <w:r w:rsidR="00543711">
        <w:rPr>
          <w:rFonts w:ascii="Times New Roman" w:hAnsi="Times New Roman" w:cs="Times New Roman"/>
          <w:sz w:val="28"/>
          <w:szCs w:val="28"/>
        </w:rPr>
        <w:t>since these were</w:t>
      </w:r>
      <w:r w:rsidR="00346B48">
        <w:rPr>
          <w:rFonts w:ascii="Times New Roman" w:hAnsi="Times New Roman" w:cs="Times New Roman"/>
          <w:sz w:val="28"/>
          <w:szCs w:val="28"/>
        </w:rPr>
        <w:t xml:space="preserve"> </w:t>
      </w:r>
      <w:r w:rsidR="00FF30D8">
        <w:rPr>
          <w:rFonts w:ascii="Times New Roman" w:hAnsi="Times New Roman" w:cs="Times New Roman"/>
          <w:sz w:val="28"/>
          <w:szCs w:val="28"/>
        </w:rPr>
        <w:t xml:space="preserve">the participants </w:t>
      </w:r>
      <w:r w:rsidR="00543711">
        <w:rPr>
          <w:rFonts w:ascii="Times New Roman" w:hAnsi="Times New Roman" w:cs="Times New Roman"/>
          <w:sz w:val="28"/>
          <w:szCs w:val="28"/>
        </w:rPr>
        <w:t xml:space="preserve">that </w:t>
      </w:r>
      <w:r w:rsidR="00346B48">
        <w:rPr>
          <w:rFonts w:ascii="Times New Roman" w:hAnsi="Times New Roman" w:cs="Times New Roman"/>
          <w:sz w:val="28"/>
          <w:szCs w:val="28"/>
        </w:rPr>
        <w:t xml:space="preserve">were three or more standard deviations from the mean.  </w:t>
      </w:r>
      <w:r w:rsidR="00795BAE">
        <w:rPr>
          <w:rFonts w:ascii="Times New Roman" w:hAnsi="Times New Roman" w:cs="Times New Roman"/>
          <w:sz w:val="28"/>
          <w:szCs w:val="28"/>
        </w:rPr>
        <w:t xml:space="preserve">One of the requirements was that the participants must </w:t>
      </w:r>
      <w:r w:rsidR="001E0AC8">
        <w:rPr>
          <w:rFonts w:ascii="Times New Roman" w:hAnsi="Times New Roman" w:cs="Times New Roman"/>
          <w:sz w:val="28"/>
          <w:szCs w:val="28"/>
        </w:rPr>
        <w:t>currently live</w:t>
      </w:r>
      <w:r w:rsidR="00795BAE">
        <w:rPr>
          <w:rFonts w:ascii="Times New Roman" w:hAnsi="Times New Roman" w:cs="Times New Roman"/>
          <w:sz w:val="28"/>
          <w:szCs w:val="28"/>
        </w:rPr>
        <w:t xml:space="preserve"> in the United States.  </w:t>
      </w:r>
      <w:r w:rsidR="00641973">
        <w:rPr>
          <w:rFonts w:ascii="Times New Roman" w:hAnsi="Times New Roman" w:cs="Times New Roman"/>
          <w:sz w:val="28"/>
          <w:szCs w:val="28"/>
        </w:rPr>
        <w:t xml:space="preserve">Most of the participants were also fluent in </w:t>
      </w:r>
      <w:r w:rsidR="00B514A7">
        <w:rPr>
          <w:rFonts w:ascii="Times New Roman" w:hAnsi="Times New Roman" w:cs="Times New Roman"/>
          <w:sz w:val="28"/>
          <w:szCs w:val="28"/>
        </w:rPr>
        <w:t>English, which</w:t>
      </w:r>
      <w:r w:rsidR="00641973">
        <w:rPr>
          <w:rFonts w:ascii="Times New Roman" w:hAnsi="Times New Roman" w:cs="Times New Roman"/>
          <w:sz w:val="28"/>
          <w:szCs w:val="28"/>
        </w:rPr>
        <w:t xml:space="preserve"> included 97.4%.  </w:t>
      </w:r>
      <w:r w:rsidR="00170AE4">
        <w:rPr>
          <w:rFonts w:ascii="Times New Roman" w:hAnsi="Times New Roman" w:cs="Times New Roman"/>
          <w:sz w:val="28"/>
          <w:szCs w:val="28"/>
        </w:rPr>
        <w:t xml:space="preserve">37.6% </w:t>
      </w:r>
      <w:r w:rsidR="00040531">
        <w:rPr>
          <w:rFonts w:ascii="Times New Roman" w:hAnsi="Times New Roman" w:cs="Times New Roman"/>
          <w:sz w:val="28"/>
          <w:szCs w:val="28"/>
        </w:rPr>
        <w:t>of the participants were males, 61.5% of the participants were females</w:t>
      </w:r>
      <w:r w:rsidR="002133F6">
        <w:rPr>
          <w:rFonts w:ascii="Times New Roman" w:hAnsi="Times New Roman" w:cs="Times New Roman"/>
          <w:sz w:val="28"/>
          <w:szCs w:val="28"/>
        </w:rPr>
        <w:t>, and one</w:t>
      </w:r>
      <w:r w:rsidR="00346467">
        <w:rPr>
          <w:rFonts w:ascii="Times New Roman" w:hAnsi="Times New Roman" w:cs="Times New Roman"/>
          <w:sz w:val="28"/>
          <w:szCs w:val="28"/>
        </w:rPr>
        <w:t xml:space="preserve"> </w:t>
      </w:r>
      <w:r w:rsidR="00040531">
        <w:rPr>
          <w:rFonts w:ascii="Times New Roman" w:hAnsi="Times New Roman" w:cs="Times New Roman"/>
          <w:sz w:val="28"/>
          <w:szCs w:val="28"/>
        </w:rPr>
        <w:t>participant preferred</w:t>
      </w:r>
      <w:r w:rsidR="00346467">
        <w:rPr>
          <w:rFonts w:ascii="Times New Roman" w:hAnsi="Times New Roman" w:cs="Times New Roman"/>
          <w:sz w:val="28"/>
          <w:szCs w:val="28"/>
        </w:rPr>
        <w:t xml:space="preserve"> not to answer.</w:t>
      </w:r>
      <w:r w:rsidR="00ED6A1E">
        <w:rPr>
          <w:rFonts w:ascii="Times New Roman" w:hAnsi="Times New Roman" w:cs="Times New Roman"/>
          <w:sz w:val="28"/>
          <w:szCs w:val="28"/>
        </w:rPr>
        <w:t xml:space="preserve">  </w:t>
      </w:r>
      <w:r w:rsidR="00170AE4">
        <w:rPr>
          <w:rFonts w:ascii="Times New Roman" w:hAnsi="Times New Roman" w:cs="Times New Roman"/>
          <w:sz w:val="28"/>
          <w:szCs w:val="28"/>
        </w:rPr>
        <w:t>The levels of education of the participants included 11.6% at the high school level, 75.6% at the colle</w:t>
      </w:r>
      <w:r w:rsidR="00EF0C99">
        <w:rPr>
          <w:rFonts w:ascii="Times New Roman" w:hAnsi="Times New Roman" w:cs="Times New Roman"/>
          <w:sz w:val="28"/>
          <w:szCs w:val="28"/>
        </w:rPr>
        <w:t>g</w:t>
      </w:r>
      <w:r w:rsidR="00170AE4">
        <w:rPr>
          <w:rFonts w:ascii="Times New Roman" w:hAnsi="Times New Roman" w:cs="Times New Roman"/>
          <w:sz w:val="28"/>
          <w:szCs w:val="28"/>
        </w:rPr>
        <w:t xml:space="preserve">e level, 11.6% at the graduate level, and two participants preferred not to answer.  </w:t>
      </w:r>
      <w:r w:rsidR="0032117D">
        <w:rPr>
          <w:rFonts w:ascii="Times New Roman" w:hAnsi="Times New Roman" w:cs="Times New Roman"/>
          <w:sz w:val="28"/>
          <w:szCs w:val="28"/>
        </w:rPr>
        <w:t xml:space="preserve">A majority of the participants were white, totaling at 73.5%, while the rest of the participants were 8.5% black, 4.7% Hispanic, 8.1% Asian, and 5.2% were other race.  </w:t>
      </w:r>
      <w:r w:rsidR="00ED6A1E">
        <w:rPr>
          <w:rFonts w:ascii="Times New Roman" w:hAnsi="Times New Roman" w:cs="Times New Roman"/>
          <w:sz w:val="28"/>
          <w:szCs w:val="28"/>
        </w:rPr>
        <w:t xml:space="preserve">The </w:t>
      </w:r>
      <w:r w:rsidR="006753F6">
        <w:rPr>
          <w:rFonts w:ascii="Times New Roman" w:hAnsi="Times New Roman" w:cs="Times New Roman"/>
          <w:sz w:val="28"/>
          <w:szCs w:val="28"/>
        </w:rPr>
        <w:t>participants</w:t>
      </w:r>
      <w:r w:rsidR="00690161">
        <w:rPr>
          <w:rFonts w:ascii="Times New Roman" w:hAnsi="Times New Roman" w:cs="Times New Roman"/>
          <w:sz w:val="28"/>
          <w:szCs w:val="28"/>
        </w:rPr>
        <w:t xml:space="preserve"> were able to be part of this study</w:t>
      </w:r>
      <w:r w:rsidR="004C5BB7">
        <w:rPr>
          <w:rFonts w:ascii="Times New Roman" w:hAnsi="Times New Roman" w:cs="Times New Roman"/>
          <w:sz w:val="28"/>
          <w:szCs w:val="28"/>
        </w:rPr>
        <w:t xml:space="preserve"> by voluntarily selecting the link in an ad provided by</w:t>
      </w:r>
      <w:r w:rsidR="00690161">
        <w:rPr>
          <w:rFonts w:ascii="Times New Roman" w:hAnsi="Times New Roman" w:cs="Times New Roman"/>
          <w:sz w:val="28"/>
          <w:szCs w:val="28"/>
        </w:rPr>
        <w:t xml:space="preserve"> MTURK.  All of the demographics of each participant were also accounted for at the beginning of the survey.  Each participant was also given the same number of questions regardless of the wording of the questions.  Depending on how many questions the participant answered, their data was excluded from the final results</w:t>
      </w:r>
      <w:r w:rsidR="00D40065">
        <w:rPr>
          <w:rFonts w:ascii="Times New Roman" w:hAnsi="Times New Roman" w:cs="Times New Roman"/>
          <w:sz w:val="28"/>
          <w:szCs w:val="28"/>
        </w:rPr>
        <w:t>.</w:t>
      </w:r>
    </w:p>
    <w:p w14:paraId="454819F7" w14:textId="77777777" w:rsidR="006753F6" w:rsidRPr="00801723" w:rsidRDefault="006753F6" w:rsidP="00466172">
      <w:pPr>
        <w:jc w:val="both"/>
        <w:rPr>
          <w:rFonts w:ascii="Times New Roman" w:hAnsi="Times New Roman" w:cs="Times New Roman"/>
          <w:b/>
          <w:sz w:val="28"/>
          <w:szCs w:val="28"/>
        </w:rPr>
      </w:pPr>
    </w:p>
    <w:p w14:paraId="5AF58EC2" w14:textId="77777777" w:rsidR="00466172"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Data Collection and Results</w:t>
      </w:r>
    </w:p>
    <w:p w14:paraId="2E2E9E0E" w14:textId="5702F120" w:rsidR="002A5A77" w:rsidRDefault="00FD2537" w:rsidP="00466172">
      <w:pPr>
        <w:jc w:val="both"/>
        <w:rPr>
          <w:rFonts w:ascii="Times New Roman" w:hAnsi="Times New Roman" w:cs="Times New Roman"/>
          <w:b/>
          <w:sz w:val="28"/>
          <w:szCs w:val="28"/>
        </w:rPr>
      </w:pPr>
      <w:r>
        <w:rPr>
          <w:rFonts w:ascii="Times New Roman" w:hAnsi="Times New Roman" w:cs="Times New Roman"/>
          <w:b/>
          <w:sz w:val="28"/>
          <w:szCs w:val="28"/>
        </w:rPr>
        <w:t>Study 1</w:t>
      </w:r>
      <w:r w:rsidR="00567183">
        <w:rPr>
          <w:rFonts w:ascii="Times New Roman" w:hAnsi="Times New Roman" w:cs="Times New Roman"/>
          <w:b/>
          <w:sz w:val="28"/>
          <w:szCs w:val="28"/>
        </w:rPr>
        <w:t>- Attribute Framing</w:t>
      </w:r>
    </w:p>
    <w:p w14:paraId="7408FC90" w14:textId="4AE9E558" w:rsidR="00567183" w:rsidRDefault="00754F35" w:rsidP="00466172">
      <w:pPr>
        <w:jc w:val="both"/>
        <w:rPr>
          <w:rFonts w:ascii="Times New Roman" w:hAnsi="Times New Roman" w:cs="Times New Roman"/>
          <w:sz w:val="28"/>
          <w:szCs w:val="28"/>
        </w:rPr>
      </w:pPr>
      <w:r>
        <w:rPr>
          <w:rFonts w:ascii="Times New Roman" w:hAnsi="Times New Roman" w:cs="Times New Roman"/>
          <w:sz w:val="28"/>
          <w:szCs w:val="28"/>
        </w:rPr>
        <w:t xml:space="preserve">In this study, participants rated the performance of a students test grades.  The rating scale ran from </w:t>
      </w:r>
      <w:r w:rsidR="00C10E01">
        <w:rPr>
          <w:rFonts w:ascii="Times New Roman" w:hAnsi="Times New Roman" w:cs="Times New Roman"/>
          <w:sz w:val="28"/>
          <w:szCs w:val="28"/>
        </w:rPr>
        <w:t>“</w:t>
      </w:r>
      <w:r>
        <w:rPr>
          <w:rFonts w:ascii="Times New Roman" w:hAnsi="Times New Roman" w:cs="Times New Roman"/>
          <w:sz w:val="28"/>
          <w:szCs w:val="28"/>
        </w:rPr>
        <w:t>very poor</w:t>
      </w:r>
      <w:r w:rsidR="00C10E01">
        <w:rPr>
          <w:rFonts w:ascii="Times New Roman" w:hAnsi="Times New Roman" w:cs="Times New Roman"/>
          <w:sz w:val="28"/>
          <w:szCs w:val="28"/>
        </w:rPr>
        <w:t>”</w:t>
      </w:r>
      <w:r>
        <w:rPr>
          <w:rFonts w:ascii="Times New Roman" w:hAnsi="Times New Roman" w:cs="Times New Roman"/>
          <w:sz w:val="28"/>
          <w:szCs w:val="28"/>
        </w:rPr>
        <w:t xml:space="preserve"> to </w:t>
      </w:r>
      <w:r w:rsidR="00C10E01">
        <w:rPr>
          <w:rFonts w:ascii="Times New Roman" w:hAnsi="Times New Roman" w:cs="Times New Roman"/>
          <w:sz w:val="28"/>
          <w:szCs w:val="28"/>
        </w:rPr>
        <w:t>“</w:t>
      </w:r>
      <w:r>
        <w:rPr>
          <w:rFonts w:ascii="Times New Roman" w:hAnsi="Times New Roman" w:cs="Times New Roman"/>
          <w:sz w:val="28"/>
          <w:szCs w:val="28"/>
        </w:rPr>
        <w:t>very good</w:t>
      </w:r>
      <w:r w:rsidR="00C10E01">
        <w:rPr>
          <w:rFonts w:ascii="Times New Roman" w:hAnsi="Times New Roman" w:cs="Times New Roman"/>
          <w:sz w:val="28"/>
          <w:szCs w:val="28"/>
        </w:rPr>
        <w:t>”</w:t>
      </w:r>
      <w:r>
        <w:rPr>
          <w:rFonts w:ascii="Times New Roman" w:hAnsi="Times New Roman" w:cs="Times New Roman"/>
          <w:sz w:val="28"/>
          <w:szCs w:val="28"/>
        </w:rPr>
        <w:t>.  They were either given the percent correct or incorrect of the students test</w:t>
      </w:r>
      <w:r w:rsidR="007C0291">
        <w:rPr>
          <w:rFonts w:ascii="Times New Roman" w:hAnsi="Times New Roman" w:cs="Times New Roman"/>
          <w:sz w:val="28"/>
          <w:szCs w:val="28"/>
        </w:rPr>
        <w:t xml:space="preserve"> </w:t>
      </w:r>
      <w:r w:rsidR="00B833A7">
        <w:rPr>
          <w:rFonts w:ascii="Times New Roman" w:hAnsi="Times New Roman" w:cs="Times New Roman"/>
          <w:sz w:val="28"/>
          <w:szCs w:val="28"/>
        </w:rPr>
        <w:t>score</w:t>
      </w:r>
      <w:r w:rsidR="005012F0">
        <w:rPr>
          <w:rFonts w:ascii="Times New Roman" w:hAnsi="Times New Roman" w:cs="Times New Roman"/>
          <w:sz w:val="28"/>
          <w:szCs w:val="28"/>
        </w:rPr>
        <w:t>s</w:t>
      </w:r>
      <w:r>
        <w:rPr>
          <w:rFonts w:ascii="Times New Roman" w:hAnsi="Times New Roman" w:cs="Times New Roman"/>
          <w:sz w:val="28"/>
          <w:szCs w:val="28"/>
        </w:rPr>
        <w:t>.</w:t>
      </w:r>
      <w:r w:rsidR="00CA3C8F">
        <w:rPr>
          <w:rFonts w:ascii="Times New Roman" w:hAnsi="Times New Roman" w:cs="Times New Roman"/>
          <w:sz w:val="28"/>
          <w:szCs w:val="28"/>
        </w:rPr>
        <w:t xml:space="preserve">  The charts represent the mean </w:t>
      </w:r>
      <w:r w:rsidR="000C2B4F">
        <w:rPr>
          <w:rFonts w:ascii="Times New Roman" w:hAnsi="Times New Roman" w:cs="Times New Roman"/>
          <w:sz w:val="28"/>
          <w:szCs w:val="28"/>
        </w:rPr>
        <w:t>value of the participants’ judg</w:t>
      </w:r>
      <w:r w:rsidR="00CA3C8F">
        <w:rPr>
          <w:rFonts w:ascii="Times New Roman" w:hAnsi="Times New Roman" w:cs="Times New Roman"/>
          <w:sz w:val="28"/>
          <w:szCs w:val="28"/>
        </w:rPr>
        <w:t>ment and their reaction times.</w:t>
      </w:r>
    </w:p>
    <w:p w14:paraId="7993B10C" w14:textId="0C51D0E5" w:rsidR="002E3F02" w:rsidRDefault="005A1783" w:rsidP="00466172">
      <w:pPr>
        <w:jc w:val="both"/>
        <w:rPr>
          <w:rFonts w:ascii="Times New Roman" w:hAnsi="Times New Roman" w:cs="Times New Roman"/>
          <w:sz w:val="28"/>
          <w:szCs w:val="28"/>
        </w:rPr>
      </w:pPr>
      <w:r>
        <w:rPr>
          <w:noProof/>
        </w:rPr>
        <w:drawing>
          <wp:inline distT="0" distB="0" distL="0" distR="0" wp14:anchorId="71EEC7ED" wp14:editId="06248B6F">
            <wp:extent cx="3888769"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B14480" w14:textId="7351CB3F" w:rsidR="005A1783" w:rsidRDefault="005A1783" w:rsidP="00466172">
      <w:pPr>
        <w:jc w:val="both"/>
        <w:rPr>
          <w:rFonts w:ascii="Times New Roman" w:hAnsi="Times New Roman" w:cs="Times New Roman"/>
          <w:sz w:val="28"/>
          <w:szCs w:val="28"/>
        </w:rPr>
      </w:pPr>
      <w:r>
        <w:rPr>
          <w:noProof/>
        </w:rPr>
        <w:drawing>
          <wp:inline distT="0" distB="0" distL="0" distR="0" wp14:anchorId="2FC20D33" wp14:editId="1E6C88B2">
            <wp:extent cx="3888769" cy="2286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6F09AE" w14:textId="77777777" w:rsidR="00FA55FD" w:rsidRPr="00A322A0" w:rsidRDefault="00FA55FD" w:rsidP="00FA55FD">
      <w:pPr>
        <w:rPr>
          <w:rFonts w:ascii="Times New Roman" w:hAnsi="Times New Roman" w:cs="Times New Roman"/>
          <w:b/>
          <w:sz w:val="28"/>
          <w:szCs w:val="28"/>
        </w:rPr>
      </w:pPr>
      <w:r w:rsidRPr="00A322A0">
        <w:rPr>
          <w:rFonts w:ascii="Times New Roman" w:hAnsi="Times New Roman" w:cs="Times New Roman"/>
          <w:b/>
          <w:sz w:val="28"/>
          <w:szCs w:val="28"/>
        </w:rPr>
        <w:t>Judgment:</w:t>
      </w:r>
    </w:p>
    <w:p w14:paraId="22D3332D" w14:textId="77777777" w:rsidR="00FA55FD" w:rsidRPr="00A322A0" w:rsidRDefault="00FA55FD" w:rsidP="00FA55FD">
      <w:pPr>
        <w:rPr>
          <w:rFonts w:ascii="Times New Roman" w:hAnsi="Times New Roman" w:cs="Times New Roman"/>
          <w:sz w:val="28"/>
          <w:szCs w:val="28"/>
        </w:rPr>
      </w:pPr>
    </w:p>
    <w:p w14:paraId="1B5F0C75"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High numerate participants rated the students’ grades significantly lower than did the low numerate people,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4.529, MSE = .397, p = .034, ES = .020.</w:t>
      </w:r>
    </w:p>
    <w:p w14:paraId="286DA671" w14:textId="77777777" w:rsidR="00FA55FD" w:rsidRPr="00A322A0" w:rsidRDefault="00FA55FD" w:rsidP="00FA55FD">
      <w:pPr>
        <w:rPr>
          <w:rFonts w:ascii="Times New Roman" w:hAnsi="Times New Roman" w:cs="Times New Roman"/>
          <w:sz w:val="28"/>
          <w:szCs w:val="28"/>
        </w:rPr>
      </w:pPr>
    </w:p>
    <w:p w14:paraId="119710E6"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The framing of the students’ grades did not affect participants’ ratings of those grades,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1.842, MSE = .397, p = .176, ES = .008.</w:t>
      </w:r>
    </w:p>
    <w:p w14:paraId="6B7004D8" w14:textId="77777777" w:rsidR="00FA55FD" w:rsidRPr="00A322A0" w:rsidRDefault="00FA55FD" w:rsidP="00FA55FD">
      <w:pPr>
        <w:rPr>
          <w:rFonts w:ascii="Times New Roman" w:hAnsi="Times New Roman" w:cs="Times New Roman"/>
          <w:sz w:val="28"/>
          <w:szCs w:val="28"/>
        </w:rPr>
      </w:pPr>
    </w:p>
    <w:p w14:paraId="4376C2A3"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The interaction of numeracy and framing was not significant,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.010, MSE = .397, p = .919, ES &lt; .001.</w:t>
      </w:r>
    </w:p>
    <w:p w14:paraId="10AFFCF9" w14:textId="77777777" w:rsidR="005A1783" w:rsidRDefault="005A1783" w:rsidP="00466172">
      <w:pPr>
        <w:jc w:val="both"/>
        <w:rPr>
          <w:rFonts w:ascii="Times New Roman" w:hAnsi="Times New Roman" w:cs="Times New Roman"/>
          <w:b/>
          <w:sz w:val="28"/>
          <w:szCs w:val="28"/>
        </w:rPr>
      </w:pPr>
    </w:p>
    <w:p w14:paraId="5B364E06" w14:textId="5B05739E" w:rsidR="00FD2537" w:rsidRDefault="00FD2537" w:rsidP="00466172">
      <w:pPr>
        <w:jc w:val="both"/>
        <w:rPr>
          <w:rFonts w:ascii="Times New Roman" w:hAnsi="Times New Roman" w:cs="Times New Roman"/>
          <w:b/>
          <w:sz w:val="28"/>
          <w:szCs w:val="28"/>
        </w:rPr>
      </w:pPr>
      <w:r>
        <w:rPr>
          <w:rFonts w:ascii="Times New Roman" w:hAnsi="Times New Roman" w:cs="Times New Roman"/>
          <w:b/>
          <w:sz w:val="28"/>
          <w:szCs w:val="28"/>
        </w:rPr>
        <w:t>Study 2</w:t>
      </w:r>
      <w:r w:rsidR="00567183">
        <w:rPr>
          <w:rFonts w:ascii="Times New Roman" w:hAnsi="Times New Roman" w:cs="Times New Roman"/>
          <w:b/>
          <w:sz w:val="28"/>
          <w:szCs w:val="28"/>
        </w:rPr>
        <w:t>- Risk Representation</w:t>
      </w:r>
    </w:p>
    <w:p w14:paraId="5B0CEE92" w14:textId="4BD0CEC7" w:rsidR="00152001" w:rsidRDefault="00152001" w:rsidP="00152001">
      <w:pPr>
        <w:jc w:val="both"/>
        <w:rPr>
          <w:rFonts w:ascii="Times New Roman" w:hAnsi="Times New Roman" w:cs="Times New Roman"/>
          <w:sz w:val="28"/>
          <w:szCs w:val="28"/>
        </w:rPr>
      </w:pPr>
      <w:r>
        <w:rPr>
          <w:rFonts w:ascii="Times New Roman" w:hAnsi="Times New Roman" w:cs="Times New Roman"/>
          <w:sz w:val="28"/>
          <w:szCs w:val="28"/>
        </w:rPr>
        <w:t xml:space="preserve">In this study, participants were given a vignette of a mental health patient that was being discharged.  After reading the vignette, the participants had to </w:t>
      </w:r>
      <w:r w:rsidR="0027068A">
        <w:rPr>
          <w:rFonts w:ascii="Times New Roman" w:hAnsi="Times New Roman" w:cs="Times New Roman"/>
          <w:sz w:val="28"/>
          <w:szCs w:val="28"/>
        </w:rPr>
        <w:t>rate</w:t>
      </w:r>
      <w:r>
        <w:rPr>
          <w:rFonts w:ascii="Times New Roman" w:hAnsi="Times New Roman" w:cs="Times New Roman"/>
          <w:sz w:val="28"/>
          <w:szCs w:val="28"/>
        </w:rPr>
        <w:t xml:space="preserve"> the </w:t>
      </w:r>
      <w:r w:rsidR="003A78B1">
        <w:rPr>
          <w:rFonts w:ascii="Times New Roman" w:hAnsi="Times New Roman" w:cs="Times New Roman"/>
          <w:sz w:val="28"/>
          <w:szCs w:val="28"/>
        </w:rPr>
        <w:t>level of risk</w:t>
      </w:r>
      <w:r>
        <w:rPr>
          <w:rFonts w:ascii="Times New Roman" w:hAnsi="Times New Roman" w:cs="Times New Roman"/>
          <w:sz w:val="28"/>
          <w:szCs w:val="28"/>
        </w:rPr>
        <w:t xml:space="preserve"> of the patient committing an act of violence</w:t>
      </w:r>
      <w:r w:rsidR="003A78B1">
        <w:rPr>
          <w:rFonts w:ascii="Times New Roman" w:hAnsi="Times New Roman" w:cs="Times New Roman"/>
          <w:sz w:val="28"/>
          <w:szCs w:val="28"/>
        </w:rPr>
        <w:t xml:space="preserve"> given a scale that ran from </w:t>
      </w:r>
      <w:r w:rsidR="00C10E01">
        <w:rPr>
          <w:rFonts w:ascii="Times New Roman" w:hAnsi="Times New Roman" w:cs="Times New Roman"/>
          <w:sz w:val="28"/>
          <w:szCs w:val="28"/>
        </w:rPr>
        <w:t>“</w:t>
      </w:r>
      <w:r w:rsidR="003A78B1">
        <w:rPr>
          <w:rFonts w:ascii="Times New Roman" w:hAnsi="Times New Roman" w:cs="Times New Roman"/>
          <w:sz w:val="28"/>
          <w:szCs w:val="28"/>
        </w:rPr>
        <w:t>very low risk</w:t>
      </w:r>
      <w:r w:rsidR="00C10E01">
        <w:rPr>
          <w:rFonts w:ascii="Times New Roman" w:hAnsi="Times New Roman" w:cs="Times New Roman"/>
          <w:sz w:val="28"/>
          <w:szCs w:val="28"/>
        </w:rPr>
        <w:t>”</w:t>
      </w:r>
      <w:r w:rsidR="003A78B1">
        <w:rPr>
          <w:rFonts w:ascii="Times New Roman" w:hAnsi="Times New Roman" w:cs="Times New Roman"/>
          <w:sz w:val="28"/>
          <w:szCs w:val="28"/>
        </w:rPr>
        <w:t xml:space="preserve"> to </w:t>
      </w:r>
      <w:r w:rsidR="00C10E01">
        <w:rPr>
          <w:rFonts w:ascii="Times New Roman" w:hAnsi="Times New Roman" w:cs="Times New Roman"/>
          <w:sz w:val="28"/>
          <w:szCs w:val="28"/>
        </w:rPr>
        <w:t>“</w:t>
      </w:r>
      <w:r w:rsidR="003A78B1">
        <w:rPr>
          <w:rFonts w:ascii="Times New Roman" w:hAnsi="Times New Roman" w:cs="Times New Roman"/>
          <w:sz w:val="28"/>
          <w:szCs w:val="28"/>
        </w:rPr>
        <w:t>very high risk</w:t>
      </w:r>
      <w:r w:rsidR="00C10E01">
        <w:rPr>
          <w:rFonts w:ascii="Times New Roman" w:hAnsi="Times New Roman" w:cs="Times New Roman"/>
          <w:sz w:val="28"/>
          <w:szCs w:val="28"/>
        </w:rPr>
        <w:t>”</w:t>
      </w:r>
      <w:r>
        <w:rPr>
          <w:rFonts w:ascii="Times New Roman" w:hAnsi="Times New Roman" w:cs="Times New Roman"/>
          <w:sz w:val="28"/>
          <w:szCs w:val="28"/>
        </w:rPr>
        <w:t xml:space="preserve">.  </w:t>
      </w:r>
      <w:r w:rsidR="003A78B1">
        <w:rPr>
          <w:rFonts w:ascii="Times New Roman" w:hAnsi="Times New Roman" w:cs="Times New Roman"/>
          <w:sz w:val="28"/>
          <w:szCs w:val="28"/>
        </w:rPr>
        <w:t xml:space="preserve">The participants were either given the level of risk as a percent or a frequency.  </w:t>
      </w:r>
      <w:r>
        <w:rPr>
          <w:rFonts w:ascii="Times New Roman" w:hAnsi="Times New Roman" w:cs="Times New Roman"/>
          <w:sz w:val="28"/>
          <w:szCs w:val="28"/>
        </w:rPr>
        <w:t xml:space="preserve">The charts represent the mean </w:t>
      </w:r>
      <w:r w:rsidR="00A4271B">
        <w:rPr>
          <w:rFonts w:ascii="Times New Roman" w:hAnsi="Times New Roman" w:cs="Times New Roman"/>
          <w:sz w:val="28"/>
          <w:szCs w:val="28"/>
        </w:rPr>
        <w:t>value of the participants’ judg</w:t>
      </w:r>
      <w:r>
        <w:rPr>
          <w:rFonts w:ascii="Times New Roman" w:hAnsi="Times New Roman" w:cs="Times New Roman"/>
          <w:sz w:val="28"/>
          <w:szCs w:val="28"/>
        </w:rPr>
        <w:t>ment and their reaction times.</w:t>
      </w:r>
    </w:p>
    <w:p w14:paraId="0388EF53" w14:textId="1BC304A4" w:rsidR="002E3F02" w:rsidRDefault="00555D1C" w:rsidP="00466172">
      <w:pPr>
        <w:jc w:val="both"/>
        <w:rPr>
          <w:rFonts w:ascii="Times New Roman" w:hAnsi="Times New Roman" w:cs="Times New Roman"/>
          <w:sz w:val="28"/>
          <w:szCs w:val="28"/>
        </w:rPr>
      </w:pPr>
      <w:r>
        <w:rPr>
          <w:noProof/>
        </w:rPr>
        <w:drawing>
          <wp:inline distT="0" distB="0" distL="0" distR="0" wp14:anchorId="2395C6BF" wp14:editId="2E9A588B">
            <wp:extent cx="3888769" cy="252615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3F02">
        <w:rPr>
          <w:noProof/>
        </w:rPr>
        <w:drawing>
          <wp:inline distT="0" distB="0" distL="0" distR="0" wp14:anchorId="44B2D07D" wp14:editId="6FC7F4D3">
            <wp:extent cx="3888769" cy="267513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35E291" w14:textId="7C2632E6" w:rsidR="00567183" w:rsidRDefault="002E3F02" w:rsidP="00466172">
      <w:pPr>
        <w:jc w:val="both"/>
        <w:rPr>
          <w:rFonts w:ascii="Times New Roman" w:hAnsi="Times New Roman" w:cs="Times New Roman"/>
          <w:sz w:val="28"/>
          <w:szCs w:val="28"/>
        </w:rPr>
      </w:pPr>
      <w:r>
        <w:rPr>
          <w:noProof/>
        </w:rPr>
        <w:drawing>
          <wp:inline distT="0" distB="0" distL="0" distR="0" wp14:anchorId="0468F8C6" wp14:editId="6C131E42">
            <wp:extent cx="3888769" cy="2404153"/>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3D4AB9" w14:textId="77777777" w:rsidR="00FA55FD" w:rsidRPr="00A322A0" w:rsidRDefault="00FA55FD" w:rsidP="00FA55FD">
      <w:pPr>
        <w:rPr>
          <w:rFonts w:ascii="Times New Roman" w:hAnsi="Times New Roman" w:cs="Times New Roman"/>
          <w:b/>
          <w:sz w:val="28"/>
          <w:szCs w:val="28"/>
        </w:rPr>
      </w:pPr>
      <w:r w:rsidRPr="00A322A0">
        <w:rPr>
          <w:rFonts w:ascii="Times New Roman" w:hAnsi="Times New Roman" w:cs="Times New Roman"/>
          <w:b/>
          <w:sz w:val="28"/>
          <w:szCs w:val="28"/>
        </w:rPr>
        <w:t>Judgment:</w:t>
      </w:r>
    </w:p>
    <w:p w14:paraId="3B685C8C" w14:textId="77777777" w:rsidR="00FA55FD" w:rsidRPr="00A322A0" w:rsidRDefault="00FA55FD" w:rsidP="00FA55FD">
      <w:pPr>
        <w:rPr>
          <w:rFonts w:ascii="Times New Roman" w:hAnsi="Times New Roman" w:cs="Times New Roman"/>
          <w:b/>
          <w:sz w:val="28"/>
          <w:szCs w:val="28"/>
        </w:rPr>
      </w:pPr>
    </w:p>
    <w:p w14:paraId="2DB32952"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High and low numerate participants perceived an equivalent risk of violence,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2.459, MSE = 1.234, p = .118, ES = .011.</w:t>
      </w:r>
    </w:p>
    <w:p w14:paraId="4D450D0C" w14:textId="77777777" w:rsidR="00FA55FD" w:rsidRPr="00A322A0" w:rsidRDefault="00FA55FD" w:rsidP="00FA55FD">
      <w:pPr>
        <w:rPr>
          <w:rFonts w:ascii="Times New Roman" w:hAnsi="Times New Roman" w:cs="Times New Roman"/>
          <w:sz w:val="28"/>
          <w:szCs w:val="28"/>
        </w:rPr>
      </w:pPr>
    </w:p>
    <w:p w14:paraId="6D127287"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The numerical representation of the patients’ chances of violent behavior was not affected by the framing of the risk in terms of frequency versus percentage,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.791, MSE = 1.234, p = .375, ES = .004.</w:t>
      </w:r>
    </w:p>
    <w:p w14:paraId="77C097D4" w14:textId="77777777" w:rsidR="00FA55FD" w:rsidRPr="00A322A0" w:rsidRDefault="00FA55FD" w:rsidP="00FA55FD">
      <w:pPr>
        <w:rPr>
          <w:rFonts w:ascii="Times New Roman" w:hAnsi="Times New Roman" w:cs="Times New Roman"/>
          <w:sz w:val="28"/>
          <w:szCs w:val="28"/>
        </w:rPr>
      </w:pPr>
    </w:p>
    <w:p w14:paraId="328DAAB6"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The interaction of numeracy and numerical representation was not significant,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1,218) = 1.242, MSE = 1.234, p = .266, ES = 0.006.</w:t>
      </w:r>
    </w:p>
    <w:p w14:paraId="6C41B2EF" w14:textId="77777777" w:rsidR="00567183" w:rsidRDefault="00567183" w:rsidP="00466172">
      <w:pPr>
        <w:jc w:val="both"/>
        <w:rPr>
          <w:rFonts w:ascii="Times New Roman" w:hAnsi="Times New Roman" w:cs="Times New Roman"/>
          <w:b/>
          <w:sz w:val="28"/>
          <w:szCs w:val="28"/>
        </w:rPr>
      </w:pPr>
    </w:p>
    <w:p w14:paraId="63D64C2E" w14:textId="37D07402" w:rsidR="00FD2537" w:rsidRDefault="00FD2537" w:rsidP="00466172">
      <w:pPr>
        <w:jc w:val="both"/>
        <w:rPr>
          <w:rFonts w:ascii="Times New Roman" w:hAnsi="Times New Roman" w:cs="Times New Roman"/>
          <w:b/>
          <w:sz w:val="28"/>
          <w:szCs w:val="28"/>
        </w:rPr>
      </w:pPr>
      <w:r>
        <w:rPr>
          <w:rFonts w:ascii="Times New Roman" w:hAnsi="Times New Roman" w:cs="Times New Roman"/>
          <w:b/>
          <w:sz w:val="28"/>
          <w:szCs w:val="28"/>
        </w:rPr>
        <w:t>Study 3</w:t>
      </w:r>
      <w:r w:rsidR="00567183">
        <w:rPr>
          <w:rFonts w:ascii="Times New Roman" w:hAnsi="Times New Roman" w:cs="Times New Roman"/>
          <w:b/>
          <w:sz w:val="28"/>
          <w:szCs w:val="28"/>
        </w:rPr>
        <w:t>- Affective Information</w:t>
      </w:r>
    </w:p>
    <w:p w14:paraId="58C28EA1" w14:textId="3058D892" w:rsidR="00EB3E4B" w:rsidRDefault="00EB3E4B" w:rsidP="00EB3E4B">
      <w:pPr>
        <w:jc w:val="both"/>
        <w:rPr>
          <w:rFonts w:ascii="Times New Roman" w:hAnsi="Times New Roman" w:cs="Times New Roman"/>
          <w:sz w:val="28"/>
          <w:szCs w:val="28"/>
        </w:rPr>
      </w:pPr>
      <w:r>
        <w:rPr>
          <w:rFonts w:ascii="Times New Roman" w:hAnsi="Times New Roman" w:cs="Times New Roman"/>
          <w:sz w:val="28"/>
          <w:szCs w:val="28"/>
        </w:rPr>
        <w:t xml:space="preserve">In this study, participants were given two jars of jellybeans.  Jar A had 9 red jellybeans out of 100 and jar B had 1 red jellybean out of 10.  The participants had to choose which jar they believed had the higher chance of them picking a red jellybean.  The charts represent the mean </w:t>
      </w:r>
      <w:r w:rsidR="00A4271B">
        <w:rPr>
          <w:rFonts w:ascii="Times New Roman" w:hAnsi="Times New Roman" w:cs="Times New Roman"/>
          <w:sz w:val="28"/>
          <w:szCs w:val="28"/>
        </w:rPr>
        <w:t>value of the participants’ judg</w:t>
      </w:r>
      <w:r>
        <w:rPr>
          <w:rFonts w:ascii="Times New Roman" w:hAnsi="Times New Roman" w:cs="Times New Roman"/>
          <w:sz w:val="28"/>
          <w:szCs w:val="28"/>
        </w:rPr>
        <w:t>ment and their reaction times.</w:t>
      </w:r>
    </w:p>
    <w:p w14:paraId="129427AB" w14:textId="77777777" w:rsidR="00EB3E4B" w:rsidRPr="00EB3E4B" w:rsidRDefault="00EB3E4B" w:rsidP="00466172">
      <w:pPr>
        <w:jc w:val="both"/>
        <w:rPr>
          <w:rFonts w:ascii="Times New Roman" w:hAnsi="Times New Roman" w:cs="Times New Roman"/>
          <w:sz w:val="28"/>
          <w:szCs w:val="28"/>
        </w:rPr>
      </w:pPr>
    </w:p>
    <w:p w14:paraId="22D0EC2C" w14:textId="0C6214DF" w:rsidR="00EB3E4B" w:rsidRDefault="00031D9F" w:rsidP="00466172">
      <w:pPr>
        <w:jc w:val="both"/>
        <w:rPr>
          <w:rFonts w:ascii="Times New Roman" w:hAnsi="Times New Roman" w:cs="Times New Roman"/>
          <w:sz w:val="28"/>
          <w:szCs w:val="28"/>
        </w:rPr>
      </w:pPr>
      <w:r>
        <w:rPr>
          <w:noProof/>
        </w:rPr>
        <w:drawing>
          <wp:inline distT="0" distB="0" distL="0" distR="0" wp14:anchorId="0BC10BB8" wp14:editId="70299281">
            <wp:extent cx="3545869" cy="2628900"/>
            <wp:effectExtent l="0" t="0" r="1016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14:paraId="2F7A67FF" w14:textId="6A77DF93" w:rsidR="00567183" w:rsidRDefault="00EB3E4B" w:rsidP="00466172">
      <w:pPr>
        <w:jc w:val="both"/>
        <w:rPr>
          <w:rFonts w:ascii="Times New Roman" w:hAnsi="Times New Roman" w:cs="Times New Roman"/>
          <w:sz w:val="28"/>
          <w:szCs w:val="28"/>
        </w:rPr>
      </w:pPr>
      <w:r>
        <w:rPr>
          <w:noProof/>
        </w:rPr>
        <w:drawing>
          <wp:inline distT="0" distB="0" distL="0" distR="0" wp14:anchorId="251DCD1F" wp14:editId="09B01FDF">
            <wp:extent cx="3545869" cy="2399016"/>
            <wp:effectExtent l="0" t="0" r="1016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DCE626" w14:textId="77777777" w:rsidR="00FA55FD" w:rsidRPr="00A322A0" w:rsidRDefault="00FA55FD" w:rsidP="00FA55FD">
      <w:pPr>
        <w:rPr>
          <w:rFonts w:ascii="Times New Roman" w:hAnsi="Times New Roman" w:cs="Times New Roman"/>
          <w:b/>
          <w:sz w:val="28"/>
          <w:szCs w:val="28"/>
        </w:rPr>
      </w:pPr>
      <w:r w:rsidRPr="00A322A0">
        <w:rPr>
          <w:rFonts w:ascii="Times New Roman" w:hAnsi="Times New Roman" w:cs="Times New Roman"/>
          <w:b/>
          <w:sz w:val="28"/>
          <w:szCs w:val="28"/>
        </w:rPr>
        <w:t>Judgment:</w:t>
      </w:r>
    </w:p>
    <w:p w14:paraId="5D760EA1" w14:textId="77777777" w:rsidR="00FA55FD" w:rsidRPr="00A322A0" w:rsidRDefault="00FA55FD" w:rsidP="00FA55FD">
      <w:pPr>
        <w:rPr>
          <w:rFonts w:ascii="Times New Roman" w:hAnsi="Times New Roman" w:cs="Times New Roman"/>
          <w:b/>
          <w:sz w:val="28"/>
          <w:szCs w:val="28"/>
        </w:rPr>
      </w:pPr>
    </w:p>
    <w:p w14:paraId="151C13A1"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High numerate participants were more likely to choose the jar with fewer jelly beans (greater chance of winning) than were the low numerate participants,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1,220) = 12.752, MSE = .203, p &lt; .001, ES = .055.</w:t>
      </w:r>
    </w:p>
    <w:p w14:paraId="05F46E24" w14:textId="77777777" w:rsidR="00567183" w:rsidRDefault="00567183" w:rsidP="00466172">
      <w:pPr>
        <w:jc w:val="both"/>
        <w:rPr>
          <w:rFonts w:ascii="Times New Roman" w:hAnsi="Times New Roman" w:cs="Times New Roman"/>
          <w:b/>
          <w:sz w:val="28"/>
          <w:szCs w:val="28"/>
        </w:rPr>
      </w:pPr>
    </w:p>
    <w:p w14:paraId="30AE190E" w14:textId="5A33B16C" w:rsidR="00FD2537" w:rsidRDefault="00FD2537" w:rsidP="00466172">
      <w:pPr>
        <w:jc w:val="both"/>
        <w:rPr>
          <w:rFonts w:ascii="Times New Roman" w:hAnsi="Times New Roman" w:cs="Times New Roman"/>
          <w:b/>
          <w:sz w:val="28"/>
          <w:szCs w:val="28"/>
        </w:rPr>
      </w:pPr>
      <w:r>
        <w:rPr>
          <w:rFonts w:ascii="Times New Roman" w:hAnsi="Times New Roman" w:cs="Times New Roman"/>
          <w:b/>
          <w:sz w:val="28"/>
          <w:szCs w:val="28"/>
        </w:rPr>
        <w:t>Study 4</w:t>
      </w:r>
      <w:r w:rsidR="002E1826">
        <w:rPr>
          <w:rFonts w:ascii="Times New Roman" w:hAnsi="Times New Roman" w:cs="Times New Roman"/>
          <w:b/>
          <w:sz w:val="28"/>
          <w:szCs w:val="28"/>
        </w:rPr>
        <w:t>- A</w:t>
      </w:r>
      <w:r w:rsidR="00567183">
        <w:rPr>
          <w:rFonts w:ascii="Times New Roman" w:hAnsi="Times New Roman" w:cs="Times New Roman"/>
          <w:b/>
          <w:sz w:val="28"/>
          <w:szCs w:val="28"/>
        </w:rPr>
        <w:t>ffect and Betting</w:t>
      </w:r>
    </w:p>
    <w:p w14:paraId="6912E80F" w14:textId="68BC9D26" w:rsidR="004F06AD" w:rsidRDefault="00E9330E" w:rsidP="004F06AD">
      <w:pPr>
        <w:jc w:val="both"/>
        <w:rPr>
          <w:rFonts w:ascii="Times New Roman" w:hAnsi="Times New Roman" w:cs="Times New Roman"/>
          <w:sz w:val="28"/>
          <w:szCs w:val="28"/>
        </w:rPr>
      </w:pPr>
      <w:r>
        <w:rPr>
          <w:rFonts w:ascii="Times New Roman" w:hAnsi="Times New Roman" w:cs="Times New Roman"/>
          <w:sz w:val="28"/>
          <w:szCs w:val="28"/>
        </w:rPr>
        <w:t xml:space="preserve">In this study, </w:t>
      </w:r>
      <w:r w:rsidR="006E01DF">
        <w:rPr>
          <w:rFonts w:ascii="Times New Roman" w:hAnsi="Times New Roman" w:cs="Times New Roman"/>
          <w:sz w:val="28"/>
          <w:szCs w:val="28"/>
        </w:rPr>
        <w:t xml:space="preserve">participants were either given a no loss or small loss bet.  The no loss bet presented to the participants was that they had a 7/36 chance to win $9 or 29/36 </w:t>
      </w:r>
      <w:proofErr w:type="gramStart"/>
      <w:r w:rsidR="006E01DF">
        <w:rPr>
          <w:rFonts w:ascii="Times New Roman" w:hAnsi="Times New Roman" w:cs="Times New Roman"/>
          <w:sz w:val="28"/>
          <w:szCs w:val="28"/>
        </w:rPr>
        <w:t>chance</w:t>
      </w:r>
      <w:proofErr w:type="gramEnd"/>
      <w:r w:rsidR="006E01DF">
        <w:rPr>
          <w:rFonts w:ascii="Times New Roman" w:hAnsi="Times New Roman" w:cs="Times New Roman"/>
          <w:sz w:val="28"/>
          <w:szCs w:val="28"/>
        </w:rPr>
        <w:t xml:space="preserve"> to win nothing.  The small loss bet presented to the participants was that they had a 7/36 chance to win $9 or 29/36 </w:t>
      </w:r>
      <w:proofErr w:type="gramStart"/>
      <w:r w:rsidR="006E01DF">
        <w:rPr>
          <w:rFonts w:ascii="Times New Roman" w:hAnsi="Times New Roman" w:cs="Times New Roman"/>
          <w:sz w:val="28"/>
          <w:szCs w:val="28"/>
        </w:rPr>
        <w:t>chance</w:t>
      </w:r>
      <w:proofErr w:type="gramEnd"/>
      <w:r w:rsidR="006E01DF">
        <w:rPr>
          <w:rFonts w:ascii="Times New Roman" w:hAnsi="Times New Roman" w:cs="Times New Roman"/>
          <w:sz w:val="28"/>
          <w:szCs w:val="28"/>
        </w:rPr>
        <w:t xml:space="preserve"> to lose $0.05.</w:t>
      </w:r>
      <w:r w:rsidR="004F06AD">
        <w:rPr>
          <w:rFonts w:ascii="Times New Roman" w:hAnsi="Times New Roman" w:cs="Times New Roman"/>
          <w:sz w:val="28"/>
          <w:szCs w:val="28"/>
        </w:rPr>
        <w:t xml:space="preserve">  Given one of the bets, the participants had to rate the attractiveness of the bet on a scale from “</w:t>
      </w:r>
      <w:r w:rsidR="00B54A1F">
        <w:rPr>
          <w:rFonts w:ascii="Times New Roman" w:hAnsi="Times New Roman" w:cs="Times New Roman"/>
          <w:sz w:val="28"/>
          <w:szCs w:val="28"/>
        </w:rPr>
        <w:t>0- not attractive at all</w:t>
      </w:r>
      <w:r w:rsidR="004F06AD">
        <w:rPr>
          <w:rFonts w:ascii="Times New Roman" w:hAnsi="Times New Roman" w:cs="Times New Roman"/>
          <w:sz w:val="28"/>
          <w:szCs w:val="28"/>
        </w:rPr>
        <w:t>” to “20</w:t>
      </w:r>
      <w:r w:rsidR="00B54A1F">
        <w:rPr>
          <w:rFonts w:ascii="Times New Roman" w:hAnsi="Times New Roman" w:cs="Times New Roman"/>
          <w:sz w:val="28"/>
          <w:szCs w:val="28"/>
        </w:rPr>
        <w:t>-</w:t>
      </w:r>
      <w:r w:rsidR="007C2DB2">
        <w:rPr>
          <w:rFonts w:ascii="Times New Roman" w:hAnsi="Times New Roman" w:cs="Times New Roman"/>
          <w:sz w:val="28"/>
          <w:szCs w:val="28"/>
        </w:rPr>
        <w:t>extremely attractive</w:t>
      </w:r>
      <w:r w:rsidR="004F06AD">
        <w:rPr>
          <w:rFonts w:ascii="Times New Roman" w:hAnsi="Times New Roman" w:cs="Times New Roman"/>
          <w:sz w:val="28"/>
          <w:szCs w:val="28"/>
        </w:rPr>
        <w:t xml:space="preserve">”.  The charts represent the mean </w:t>
      </w:r>
      <w:r w:rsidR="00B6629E">
        <w:rPr>
          <w:rFonts w:ascii="Times New Roman" w:hAnsi="Times New Roman" w:cs="Times New Roman"/>
          <w:sz w:val="28"/>
          <w:szCs w:val="28"/>
        </w:rPr>
        <w:t>value of the participants’ judg</w:t>
      </w:r>
      <w:r w:rsidR="004F06AD">
        <w:rPr>
          <w:rFonts w:ascii="Times New Roman" w:hAnsi="Times New Roman" w:cs="Times New Roman"/>
          <w:sz w:val="28"/>
          <w:szCs w:val="28"/>
        </w:rPr>
        <w:t>ment and their reaction times.</w:t>
      </w:r>
    </w:p>
    <w:p w14:paraId="53010C42" w14:textId="7366B810" w:rsidR="00E9330E" w:rsidRPr="00E9330E" w:rsidRDefault="00E9330E" w:rsidP="006E01DF">
      <w:pPr>
        <w:tabs>
          <w:tab w:val="center" w:pos="4320"/>
        </w:tabs>
        <w:jc w:val="both"/>
        <w:rPr>
          <w:rFonts w:ascii="Times New Roman" w:hAnsi="Times New Roman" w:cs="Times New Roman"/>
          <w:sz w:val="28"/>
          <w:szCs w:val="28"/>
        </w:rPr>
      </w:pPr>
    </w:p>
    <w:p w14:paraId="5537DE71" w14:textId="7129B27F" w:rsidR="00CC3C0F" w:rsidRDefault="005865CA" w:rsidP="00466172">
      <w:pPr>
        <w:jc w:val="both"/>
        <w:rPr>
          <w:rFonts w:ascii="Times New Roman" w:hAnsi="Times New Roman" w:cs="Times New Roman"/>
          <w:sz w:val="28"/>
          <w:szCs w:val="28"/>
        </w:rPr>
      </w:pPr>
      <w:r>
        <w:rPr>
          <w:noProof/>
        </w:rPr>
        <w:drawing>
          <wp:inline distT="0" distB="0" distL="0" distR="0" wp14:anchorId="28716117" wp14:editId="49E813E7">
            <wp:extent cx="3660169" cy="2171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D262A6" w14:textId="261F5F76" w:rsidR="005865CA" w:rsidRDefault="005865CA" w:rsidP="00466172">
      <w:pPr>
        <w:jc w:val="both"/>
        <w:rPr>
          <w:rFonts w:ascii="Times New Roman" w:hAnsi="Times New Roman" w:cs="Times New Roman"/>
          <w:sz w:val="28"/>
          <w:szCs w:val="28"/>
        </w:rPr>
      </w:pPr>
      <w:r>
        <w:rPr>
          <w:noProof/>
        </w:rPr>
        <w:drawing>
          <wp:inline distT="0" distB="0" distL="0" distR="0" wp14:anchorId="1C9DED96" wp14:editId="0AF3842E">
            <wp:extent cx="3774469" cy="2312970"/>
            <wp:effectExtent l="0" t="0" r="1016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FC12C3" w14:textId="77777777" w:rsidR="00FA55FD" w:rsidRPr="00A322A0" w:rsidRDefault="00FA55FD" w:rsidP="00FA55FD">
      <w:pPr>
        <w:rPr>
          <w:rFonts w:ascii="Times New Roman" w:hAnsi="Times New Roman" w:cs="Times New Roman"/>
          <w:b/>
          <w:sz w:val="28"/>
          <w:szCs w:val="28"/>
        </w:rPr>
      </w:pPr>
      <w:r w:rsidRPr="00A322A0">
        <w:rPr>
          <w:rFonts w:ascii="Times New Roman" w:hAnsi="Times New Roman" w:cs="Times New Roman"/>
          <w:b/>
          <w:sz w:val="28"/>
          <w:szCs w:val="28"/>
        </w:rPr>
        <w:t>Judgment:</w:t>
      </w:r>
    </w:p>
    <w:p w14:paraId="6E68B27B" w14:textId="77777777" w:rsidR="00FA55FD" w:rsidRPr="00A322A0" w:rsidRDefault="00FA55FD" w:rsidP="00FA55FD">
      <w:pPr>
        <w:rPr>
          <w:rFonts w:ascii="Times New Roman" w:hAnsi="Times New Roman" w:cs="Times New Roman"/>
          <w:b/>
          <w:sz w:val="28"/>
          <w:szCs w:val="28"/>
        </w:rPr>
      </w:pPr>
    </w:p>
    <w:p w14:paraId="41940B66"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High and low numerate participants perceived equal attractiveness of the bets,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1,217) = 1.470, MSE = 30.446, p = .227, ES = .007.</w:t>
      </w:r>
    </w:p>
    <w:p w14:paraId="6786257D" w14:textId="77777777" w:rsidR="00FA55FD" w:rsidRPr="00A322A0" w:rsidRDefault="00FA55FD" w:rsidP="00FA55FD">
      <w:pPr>
        <w:rPr>
          <w:rFonts w:ascii="Times New Roman" w:hAnsi="Times New Roman" w:cs="Times New Roman"/>
          <w:sz w:val="28"/>
          <w:szCs w:val="28"/>
        </w:rPr>
      </w:pPr>
    </w:p>
    <w:p w14:paraId="205919A8"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Participants rated a bet involving a small potential loss as more attractive than a bet involving no chance of a loss,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1,217) = 12.742, MSE = 30.446, p &lt; .001, ES = .055.</w:t>
      </w:r>
    </w:p>
    <w:p w14:paraId="153A156E" w14:textId="77777777" w:rsidR="00FA55FD" w:rsidRPr="00A322A0" w:rsidRDefault="00FA55FD" w:rsidP="00FA55FD">
      <w:pPr>
        <w:rPr>
          <w:rFonts w:ascii="Times New Roman" w:hAnsi="Times New Roman" w:cs="Times New Roman"/>
          <w:sz w:val="28"/>
          <w:szCs w:val="28"/>
        </w:rPr>
      </w:pPr>
    </w:p>
    <w:p w14:paraId="7054D6CE" w14:textId="77777777" w:rsidR="00FA55FD" w:rsidRPr="00A322A0" w:rsidRDefault="00FA55FD" w:rsidP="00FA55FD">
      <w:pPr>
        <w:rPr>
          <w:rFonts w:ascii="Times New Roman" w:hAnsi="Times New Roman" w:cs="Times New Roman"/>
          <w:sz w:val="28"/>
          <w:szCs w:val="28"/>
        </w:rPr>
      </w:pPr>
      <w:r w:rsidRPr="00A322A0">
        <w:rPr>
          <w:rFonts w:ascii="Times New Roman" w:hAnsi="Times New Roman" w:cs="Times New Roman"/>
          <w:sz w:val="28"/>
          <w:szCs w:val="28"/>
        </w:rPr>
        <w:t xml:space="preserve">The interaction of numeracy and the presence or absence of a loss was not significant, </w:t>
      </w:r>
      <w:proofErr w:type="gramStart"/>
      <w:r w:rsidRPr="00A322A0">
        <w:rPr>
          <w:rFonts w:ascii="Times New Roman" w:hAnsi="Times New Roman" w:cs="Times New Roman"/>
          <w:sz w:val="28"/>
          <w:szCs w:val="28"/>
        </w:rPr>
        <w:t>F(</w:t>
      </w:r>
      <w:proofErr w:type="gramEnd"/>
      <w:r w:rsidRPr="00A322A0">
        <w:rPr>
          <w:rFonts w:ascii="Times New Roman" w:hAnsi="Times New Roman" w:cs="Times New Roman"/>
          <w:sz w:val="28"/>
          <w:szCs w:val="28"/>
        </w:rPr>
        <w:t>1,217) = 1.689, MSE = 30.446, p = .195, ES = .008.</w:t>
      </w:r>
    </w:p>
    <w:p w14:paraId="7919B2C1" w14:textId="77777777" w:rsidR="001673CA" w:rsidRPr="00801723" w:rsidRDefault="001673CA" w:rsidP="00466172">
      <w:pPr>
        <w:jc w:val="both"/>
        <w:rPr>
          <w:rFonts w:ascii="Times New Roman" w:hAnsi="Times New Roman" w:cs="Times New Roman"/>
          <w:sz w:val="28"/>
          <w:szCs w:val="28"/>
        </w:rPr>
      </w:pPr>
    </w:p>
    <w:p w14:paraId="45B3A2AF"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Conclusion</w:t>
      </w:r>
    </w:p>
    <w:p w14:paraId="71128FD4" w14:textId="5604D03E" w:rsidR="00A42B54" w:rsidRPr="00607455" w:rsidRDefault="00607455" w:rsidP="00466172">
      <w:pPr>
        <w:jc w:val="both"/>
        <w:rPr>
          <w:rFonts w:ascii="Times New Roman" w:hAnsi="Times New Roman" w:cs="Times New Roman"/>
          <w:sz w:val="28"/>
          <w:szCs w:val="28"/>
        </w:rPr>
      </w:pPr>
      <w:r>
        <w:rPr>
          <w:rFonts w:ascii="Times New Roman" w:hAnsi="Times New Roman" w:cs="Times New Roman"/>
          <w:sz w:val="28"/>
          <w:szCs w:val="28"/>
        </w:rPr>
        <w:t xml:space="preserve">For a majority of our studies, our expectations </w:t>
      </w:r>
      <w:r w:rsidR="00A96C03">
        <w:rPr>
          <w:rFonts w:ascii="Times New Roman" w:hAnsi="Times New Roman" w:cs="Times New Roman"/>
          <w:sz w:val="28"/>
          <w:szCs w:val="28"/>
        </w:rPr>
        <w:t>did not come</w:t>
      </w:r>
      <w:r>
        <w:rPr>
          <w:rFonts w:ascii="Times New Roman" w:hAnsi="Times New Roman" w:cs="Times New Roman"/>
          <w:sz w:val="28"/>
          <w:szCs w:val="28"/>
        </w:rPr>
        <w:t xml:space="preserve"> out correct.  We expected that the level </w:t>
      </w:r>
      <w:r w:rsidR="00605933">
        <w:rPr>
          <w:rFonts w:ascii="Times New Roman" w:hAnsi="Times New Roman" w:cs="Times New Roman"/>
          <w:sz w:val="28"/>
          <w:szCs w:val="28"/>
        </w:rPr>
        <w:t>of each person’s numeracy would affect how he or she</w:t>
      </w:r>
      <w:r>
        <w:rPr>
          <w:rFonts w:ascii="Times New Roman" w:hAnsi="Times New Roman" w:cs="Times New Roman"/>
          <w:sz w:val="28"/>
          <w:szCs w:val="28"/>
        </w:rPr>
        <w:t xml:space="preserve"> responded to the scenarios presented in e</w:t>
      </w:r>
      <w:r w:rsidR="00AE6618">
        <w:rPr>
          <w:rFonts w:ascii="Times New Roman" w:hAnsi="Times New Roman" w:cs="Times New Roman"/>
          <w:sz w:val="28"/>
          <w:szCs w:val="28"/>
        </w:rPr>
        <w:t>a</w:t>
      </w:r>
      <w:r>
        <w:rPr>
          <w:rFonts w:ascii="Times New Roman" w:hAnsi="Times New Roman" w:cs="Times New Roman"/>
          <w:sz w:val="28"/>
          <w:szCs w:val="28"/>
        </w:rPr>
        <w:t>ch of the studies.</w:t>
      </w:r>
      <w:r w:rsidR="00AE611F">
        <w:rPr>
          <w:rFonts w:ascii="Times New Roman" w:hAnsi="Times New Roman" w:cs="Times New Roman"/>
          <w:sz w:val="28"/>
          <w:szCs w:val="28"/>
        </w:rPr>
        <w:t xml:space="preserve">  For study two</w:t>
      </w:r>
      <w:r w:rsidR="00AE6618">
        <w:rPr>
          <w:rFonts w:ascii="Times New Roman" w:hAnsi="Times New Roman" w:cs="Times New Roman"/>
          <w:sz w:val="28"/>
          <w:szCs w:val="28"/>
        </w:rPr>
        <w:t xml:space="preserve">, we concluded that participants may have taken longer to read the vignette or may have taken a break during the study since the response times were significantly larger than the average response times on the other three studies.  Overall, we came to the conclusion that an </w:t>
      </w:r>
      <w:r w:rsidR="001001C8">
        <w:rPr>
          <w:rFonts w:ascii="Times New Roman" w:hAnsi="Times New Roman" w:cs="Times New Roman"/>
          <w:sz w:val="28"/>
          <w:szCs w:val="28"/>
        </w:rPr>
        <w:t>individual’s</w:t>
      </w:r>
      <w:r w:rsidR="00AE6618">
        <w:rPr>
          <w:rFonts w:ascii="Times New Roman" w:hAnsi="Times New Roman" w:cs="Times New Roman"/>
          <w:sz w:val="28"/>
          <w:szCs w:val="28"/>
        </w:rPr>
        <w:t xml:space="preserve"> level o</w:t>
      </w:r>
      <w:r w:rsidR="00B12D95">
        <w:rPr>
          <w:rFonts w:ascii="Times New Roman" w:hAnsi="Times New Roman" w:cs="Times New Roman"/>
          <w:sz w:val="28"/>
          <w:szCs w:val="28"/>
        </w:rPr>
        <w:t>f numerical understanding a</w:t>
      </w:r>
      <w:r w:rsidR="00B6629E">
        <w:rPr>
          <w:rFonts w:ascii="Times New Roman" w:hAnsi="Times New Roman" w:cs="Times New Roman"/>
          <w:sz w:val="28"/>
          <w:szCs w:val="28"/>
        </w:rPr>
        <w:t>ffects how they make judg</w:t>
      </w:r>
      <w:r w:rsidR="00AE6618">
        <w:rPr>
          <w:rFonts w:ascii="Times New Roman" w:hAnsi="Times New Roman" w:cs="Times New Roman"/>
          <w:sz w:val="28"/>
          <w:szCs w:val="28"/>
        </w:rPr>
        <w:t>ments in various situations.  These decisions become essential when making decisions such as those related to our study.  This can include choosing between two options, rating the attractiveness of a situation, or judging a risky or health related situation.</w:t>
      </w:r>
    </w:p>
    <w:p w14:paraId="3E7DAAF1" w14:textId="77777777" w:rsidR="00607455" w:rsidRPr="00801723" w:rsidRDefault="00607455" w:rsidP="00466172">
      <w:pPr>
        <w:jc w:val="both"/>
        <w:rPr>
          <w:rFonts w:ascii="Times New Roman" w:hAnsi="Times New Roman" w:cs="Times New Roman"/>
          <w:b/>
          <w:sz w:val="28"/>
          <w:szCs w:val="28"/>
        </w:rPr>
      </w:pPr>
    </w:p>
    <w:p w14:paraId="7D96783A" w14:textId="77777777" w:rsidR="00466172" w:rsidRPr="00801723"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Future Work</w:t>
      </w:r>
    </w:p>
    <w:p w14:paraId="1DEB907B" w14:textId="73D2F792" w:rsidR="00A42B54" w:rsidRPr="0070790F" w:rsidRDefault="00A42B54" w:rsidP="00466172">
      <w:pPr>
        <w:jc w:val="both"/>
        <w:rPr>
          <w:rFonts w:ascii="Times New Roman" w:hAnsi="Times New Roman" w:cs="Times New Roman"/>
          <w:b/>
          <w:sz w:val="28"/>
          <w:szCs w:val="28"/>
        </w:rPr>
      </w:pPr>
      <w:r w:rsidRPr="00801723">
        <w:rPr>
          <w:rFonts w:ascii="Times New Roman" w:hAnsi="Times New Roman" w:cs="Times New Roman"/>
          <w:sz w:val="28"/>
          <w:szCs w:val="28"/>
        </w:rPr>
        <w:t xml:space="preserve">Future research efforts include discovering how </w:t>
      </w:r>
      <w:r w:rsidR="0070790F">
        <w:rPr>
          <w:rFonts w:ascii="Times New Roman" w:hAnsi="Times New Roman" w:cs="Times New Roman"/>
          <w:sz w:val="28"/>
          <w:szCs w:val="28"/>
        </w:rPr>
        <w:t xml:space="preserve">loss averse someone is based on how they feel when they will </w:t>
      </w:r>
      <w:r w:rsidR="00D51A6C">
        <w:rPr>
          <w:rFonts w:ascii="Times New Roman" w:hAnsi="Times New Roman" w:cs="Times New Roman"/>
          <w:sz w:val="28"/>
          <w:szCs w:val="28"/>
        </w:rPr>
        <w:t xml:space="preserve">lose something in a given situation. </w:t>
      </w:r>
      <w:r w:rsidR="001C6705">
        <w:rPr>
          <w:rFonts w:ascii="Times New Roman" w:hAnsi="Times New Roman" w:cs="Times New Roman"/>
          <w:sz w:val="28"/>
          <w:szCs w:val="28"/>
        </w:rPr>
        <w:t>Loss aversion pertains to how a person feels when the loss outweighs the gain</w:t>
      </w:r>
      <w:r w:rsidR="00646FF4">
        <w:rPr>
          <w:rFonts w:ascii="Times New Roman" w:hAnsi="Times New Roman" w:cs="Times New Roman"/>
          <w:sz w:val="28"/>
          <w:szCs w:val="28"/>
        </w:rPr>
        <w:t xml:space="preserve">.  This includes using various scales to measure the participants’ emotions about the gain or loss.  This includes the following scales: bipolar, unipolar intensity, 3-point relative intensity, </w:t>
      </w:r>
      <w:proofErr w:type="gramStart"/>
      <w:r w:rsidR="00646FF4">
        <w:rPr>
          <w:rFonts w:ascii="Times New Roman" w:hAnsi="Times New Roman" w:cs="Times New Roman"/>
          <w:sz w:val="28"/>
          <w:szCs w:val="28"/>
        </w:rPr>
        <w:t>9-point relative intensity scale</w:t>
      </w:r>
      <w:proofErr w:type="gramEnd"/>
      <w:r w:rsidR="00646FF4">
        <w:rPr>
          <w:rFonts w:ascii="Times New Roman" w:hAnsi="Times New Roman" w:cs="Times New Roman"/>
          <w:sz w:val="28"/>
          <w:szCs w:val="28"/>
        </w:rPr>
        <w:t xml:space="preserve"> </w:t>
      </w:r>
      <w:r w:rsidR="00B80538">
        <w:rPr>
          <w:rFonts w:ascii="Times New Roman" w:hAnsi="Times New Roman" w:cs="Times New Roman"/>
          <w:sz w:val="28"/>
          <w:szCs w:val="28"/>
        </w:rPr>
        <w:t>[3]</w:t>
      </w:r>
      <w:r w:rsidR="001C6705">
        <w:rPr>
          <w:rFonts w:ascii="Times New Roman" w:hAnsi="Times New Roman" w:cs="Times New Roman"/>
          <w:sz w:val="28"/>
          <w:szCs w:val="28"/>
        </w:rPr>
        <w:t>.</w:t>
      </w:r>
      <w:r w:rsidR="00D51A6C">
        <w:rPr>
          <w:rFonts w:ascii="Times New Roman" w:hAnsi="Times New Roman" w:cs="Times New Roman"/>
          <w:sz w:val="28"/>
          <w:szCs w:val="28"/>
        </w:rPr>
        <w:t xml:space="preserve"> </w:t>
      </w:r>
      <w:r w:rsidR="001C6705">
        <w:rPr>
          <w:rFonts w:ascii="Times New Roman" w:hAnsi="Times New Roman" w:cs="Times New Roman"/>
          <w:sz w:val="28"/>
          <w:szCs w:val="28"/>
        </w:rPr>
        <w:t xml:space="preserve"> </w:t>
      </w:r>
      <w:r w:rsidR="00D51A6C">
        <w:rPr>
          <w:rFonts w:ascii="Times New Roman" w:hAnsi="Times New Roman" w:cs="Times New Roman"/>
          <w:sz w:val="28"/>
          <w:szCs w:val="28"/>
        </w:rPr>
        <w:t xml:space="preserve">This </w:t>
      </w:r>
      <w:r w:rsidR="001C6705">
        <w:rPr>
          <w:rFonts w:ascii="Times New Roman" w:hAnsi="Times New Roman" w:cs="Times New Roman"/>
          <w:sz w:val="28"/>
          <w:szCs w:val="28"/>
        </w:rPr>
        <w:t xml:space="preserve">is </w:t>
      </w:r>
      <w:r w:rsidR="003318DB">
        <w:rPr>
          <w:rFonts w:ascii="Times New Roman" w:hAnsi="Times New Roman" w:cs="Times New Roman"/>
          <w:sz w:val="28"/>
          <w:szCs w:val="28"/>
        </w:rPr>
        <w:t xml:space="preserve">also </w:t>
      </w:r>
      <w:r w:rsidR="001C6705">
        <w:rPr>
          <w:rFonts w:ascii="Times New Roman" w:hAnsi="Times New Roman" w:cs="Times New Roman"/>
          <w:sz w:val="28"/>
          <w:szCs w:val="28"/>
        </w:rPr>
        <w:t>an</w:t>
      </w:r>
      <w:r w:rsidR="00D51A6C">
        <w:rPr>
          <w:rFonts w:ascii="Times New Roman" w:hAnsi="Times New Roman" w:cs="Times New Roman"/>
          <w:sz w:val="28"/>
          <w:szCs w:val="28"/>
        </w:rPr>
        <w:t xml:space="preserve"> extension of study 4, when the participant is given a win or lose </w:t>
      </w:r>
      <w:r w:rsidR="001C6705">
        <w:rPr>
          <w:rFonts w:ascii="Times New Roman" w:hAnsi="Times New Roman" w:cs="Times New Roman"/>
          <w:sz w:val="28"/>
          <w:szCs w:val="28"/>
        </w:rPr>
        <w:t>scenario.  Also, a new study will be run and will be an edited version of the first studies presented in this research paper.  The new study will also include questions pertaining to loss aversion.</w:t>
      </w:r>
    </w:p>
    <w:p w14:paraId="108F3964" w14:textId="77777777" w:rsidR="00466172" w:rsidRPr="00801723" w:rsidRDefault="00466172" w:rsidP="00466172">
      <w:pPr>
        <w:jc w:val="both"/>
        <w:rPr>
          <w:rFonts w:ascii="Times New Roman" w:hAnsi="Times New Roman" w:cs="Times New Roman"/>
          <w:b/>
          <w:sz w:val="28"/>
          <w:szCs w:val="28"/>
        </w:rPr>
      </w:pPr>
    </w:p>
    <w:p w14:paraId="61996F98" w14:textId="77777777" w:rsidR="00466172" w:rsidRDefault="00466172" w:rsidP="00466172">
      <w:pPr>
        <w:jc w:val="both"/>
        <w:rPr>
          <w:rFonts w:ascii="Times New Roman" w:hAnsi="Times New Roman" w:cs="Times New Roman"/>
          <w:b/>
          <w:sz w:val="28"/>
          <w:szCs w:val="28"/>
        </w:rPr>
      </w:pPr>
      <w:r w:rsidRPr="00801723">
        <w:rPr>
          <w:rFonts w:ascii="Times New Roman" w:hAnsi="Times New Roman" w:cs="Times New Roman"/>
          <w:b/>
          <w:sz w:val="28"/>
          <w:szCs w:val="28"/>
        </w:rPr>
        <w:t xml:space="preserve">Acknowledgements </w:t>
      </w:r>
    </w:p>
    <w:p w14:paraId="33788E1B" w14:textId="5C27B75C" w:rsidR="00A43C54" w:rsidRPr="00A43C54" w:rsidRDefault="00A43C54" w:rsidP="00466172">
      <w:pPr>
        <w:jc w:val="both"/>
        <w:rPr>
          <w:rFonts w:ascii="Times New Roman" w:hAnsi="Times New Roman" w:cs="Times New Roman"/>
          <w:sz w:val="28"/>
          <w:szCs w:val="28"/>
        </w:rPr>
      </w:pPr>
      <w:r>
        <w:rPr>
          <w:rFonts w:ascii="Times New Roman" w:hAnsi="Times New Roman" w:cs="Times New Roman"/>
          <w:sz w:val="28"/>
          <w:szCs w:val="28"/>
        </w:rPr>
        <w:t xml:space="preserve">Thank you to my mentor Dr. Michael Serra for guiding me on this ongoing research process.  Thank you to the principal investigator Dr. Pat </w:t>
      </w:r>
      <w:proofErr w:type="spellStart"/>
      <w:r>
        <w:rPr>
          <w:rFonts w:ascii="Times New Roman" w:hAnsi="Times New Roman" w:cs="Times New Roman"/>
          <w:sz w:val="28"/>
          <w:szCs w:val="28"/>
        </w:rPr>
        <w:t>Delucia</w:t>
      </w:r>
      <w:proofErr w:type="spellEnd"/>
      <w:r>
        <w:rPr>
          <w:rFonts w:ascii="Times New Roman" w:hAnsi="Times New Roman" w:cs="Times New Roman"/>
          <w:sz w:val="28"/>
          <w:szCs w:val="28"/>
        </w:rPr>
        <w:t xml:space="preserve"> and the co-principal investigator Dr. James Yang for providing me with the funding and the opportunity to engage in research.  Also, thank you to all of the TTU staff and presenters for their advice and resources for my research project.</w:t>
      </w:r>
    </w:p>
    <w:p w14:paraId="565AF1E2" w14:textId="77777777" w:rsidR="00466172" w:rsidRPr="00801723" w:rsidRDefault="00466172" w:rsidP="00466172">
      <w:pPr>
        <w:jc w:val="both"/>
        <w:rPr>
          <w:rFonts w:ascii="Times New Roman" w:hAnsi="Times New Roman" w:cs="Times New Roman"/>
          <w:b/>
          <w:sz w:val="28"/>
          <w:szCs w:val="28"/>
        </w:rPr>
      </w:pPr>
    </w:p>
    <w:p w14:paraId="79FE58DE" w14:textId="77777777" w:rsidR="00466172" w:rsidRPr="00636753" w:rsidRDefault="00466172" w:rsidP="00466172">
      <w:pPr>
        <w:jc w:val="both"/>
        <w:rPr>
          <w:rFonts w:ascii="Times New Roman" w:hAnsi="Times New Roman" w:cs="Times New Roman"/>
          <w:b/>
          <w:sz w:val="28"/>
          <w:szCs w:val="28"/>
        </w:rPr>
      </w:pPr>
      <w:r w:rsidRPr="00636753">
        <w:rPr>
          <w:rFonts w:ascii="Times New Roman" w:hAnsi="Times New Roman" w:cs="Times New Roman"/>
          <w:b/>
          <w:sz w:val="28"/>
          <w:szCs w:val="28"/>
        </w:rPr>
        <w:t>References</w:t>
      </w:r>
    </w:p>
    <w:p w14:paraId="5518C649" w14:textId="6B065A9A" w:rsidR="00636753" w:rsidRPr="00636753" w:rsidRDefault="00636753" w:rsidP="00636753">
      <w:pPr>
        <w:pStyle w:val="ListParagraph"/>
        <w:numPr>
          <w:ilvl w:val="0"/>
          <w:numId w:val="2"/>
        </w:numPr>
        <w:rPr>
          <w:rFonts w:ascii="Times New Roman" w:eastAsia="Times New Roman" w:hAnsi="Times New Roman" w:cs="Times New Roman"/>
          <w:sz w:val="28"/>
          <w:szCs w:val="28"/>
        </w:rPr>
      </w:pPr>
      <w:r w:rsidRPr="00636753">
        <w:rPr>
          <w:rFonts w:ascii="Times New Roman" w:eastAsia="Times New Roman" w:hAnsi="Times New Roman" w:cs="Times New Roman"/>
          <w:sz w:val="28"/>
          <w:szCs w:val="28"/>
          <w:shd w:val="clear" w:color="auto" w:fill="FFFFFF"/>
        </w:rPr>
        <w:t xml:space="preserve">Peters, E., </w:t>
      </w:r>
      <w:proofErr w:type="spellStart"/>
      <w:r w:rsidRPr="00636753">
        <w:rPr>
          <w:rFonts w:ascii="Times New Roman" w:eastAsia="Times New Roman" w:hAnsi="Times New Roman" w:cs="Times New Roman"/>
          <w:sz w:val="28"/>
          <w:szCs w:val="28"/>
          <w:shd w:val="clear" w:color="auto" w:fill="FFFFFF"/>
        </w:rPr>
        <w:t>Västfjäll</w:t>
      </w:r>
      <w:proofErr w:type="spellEnd"/>
      <w:r w:rsidRPr="00636753">
        <w:rPr>
          <w:rFonts w:ascii="Times New Roman" w:eastAsia="Times New Roman" w:hAnsi="Times New Roman" w:cs="Times New Roman"/>
          <w:sz w:val="28"/>
          <w:szCs w:val="28"/>
          <w:shd w:val="clear" w:color="auto" w:fill="FFFFFF"/>
        </w:rPr>
        <w:t xml:space="preserve">, D., </w:t>
      </w:r>
      <w:proofErr w:type="spellStart"/>
      <w:r w:rsidRPr="00636753">
        <w:rPr>
          <w:rFonts w:ascii="Times New Roman" w:eastAsia="Times New Roman" w:hAnsi="Times New Roman" w:cs="Times New Roman"/>
          <w:sz w:val="28"/>
          <w:szCs w:val="28"/>
          <w:shd w:val="clear" w:color="auto" w:fill="FFFFFF"/>
        </w:rPr>
        <w:t>Slovic</w:t>
      </w:r>
      <w:proofErr w:type="spellEnd"/>
      <w:r w:rsidRPr="00636753">
        <w:rPr>
          <w:rFonts w:ascii="Times New Roman" w:eastAsia="Times New Roman" w:hAnsi="Times New Roman" w:cs="Times New Roman"/>
          <w:sz w:val="28"/>
          <w:szCs w:val="28"/>
          <w:shd w:val="clear" w:color="auto" w:fill="FFFFFF"/>
        </w:rPr>
        <w:t xml:space="preserve">, P., Mertz, C., </w:t>
      </w:r>
      <w:proofErr w:type="spellStart"/>
      <w:r w:rsidRPr="00636753">
        <w:rPr>
          <w:rFonts w:ascii="Times New Roman" w:eastAsia="Times New Roman" w:hAnsi="Times New Roman" w:cs="Times New Roman"/>
          <w:sz w:val="28"/>
          <w:szCs w:val="28"/>
          <w:shd w:val="clear" w:color="auto" w:fill="FFFFFF"/>
        </w:rPr>
        <w:t>Mazzocco</w:t>
      </w:r>
      <w:proofErr w:type="spellEnd"/>
      <w:r w:rsidRPr="00636753">
        <w:rPr>
          <w:rFonts w:ascii="Times New Roman" w:eastAsia="Times New Roman" w:hAnsi="Times New Roman" w:cs="Times New Roman"/>
          <w:sz w:val="28"/>
          <w:szCs w:val="28"/>
          <w:shd w:val="clear" w:color="auto" w:fill="FFFFFF"/>
        </w:rPr>
        <w:t xml:space="preserve">, K. and </w:t>
      </w:r>
      <w:proofErr w:type="spellStart"/>
      <w:r w:rsidRPr="00636753">
        <w:rPr>
          <w:rFonts w:ascii="Times New Roman" w:eastAsia="Times New Roman" w:hAnsi="Times New Roman" w:cs="Times New Roman"/>
          <w:sz w:val="28"/>
          <w:szCs w:val="28"/>
          <w:shd w:val="clear" w:color="auto" w:fill="FFFFFF"/>
        </w:rPr>
        <w:t>Dickert</w:t>
      </w:r>
      <w:proofErr w:type="spellEnd"/>
      <w:r w:rsidRPr="00636753">
        <w:rPr>
          <w:rFonts w:ascii="Times New Roman" w:eastAsia="Times New Roman" w:hAnsi="Times New Roman" w:cs="Times New Roman"/>
          <w:sz w:val="28"/>
          <w:szCs w:val="28"/>
          <w:shd w:val="clear" w:color="auto" w:fill="FFFFFF"/>
        </w:rPr>
        <w:t>, S. (2006). Numeracy and Decision Making. </w:t>
      </w:r>
      <w:r w:rsidRPr="00636753">
        <w:rPr>
          <w:rFonts w:ascii="Times New Roman" w:eastAsia="Times New Roman" w:hAnsi="Times New Roman" w:cs="Times New Roman"/>
          <w:i/>
          <w:iCs/>
          <w:sz w:val="28"/>
          <w:szCs w:val="28"/>
        </w:rPr>
        <w:t>Psychological Science</w:t>
      </w:r>
      <w:r w:rsidRPr="00636753">
        <w:rPr>
          <w:rFonts w:ascii="Times New Roman" w:eastAsia="Times New Roman" w:hAnsi="Times New Roman" w:cs="Times New Roman"/>
          <w:sz w:val="28"/>
          <w:szCs w:val="28"/>
          <w:shd w:val="clear" w:color="auto" w:fill="FFFFFF"/>
        </w:rPr>
        <w:t>, 17(5), pp.407-413.</w:t>
      </w:r>
    </w:p>
    <w:p w14:paraId="7117750A" w14:textId="60010702" w:rsidR="0089564E" w:rsidRPr="00636753" w:rsidRDefault="00801723" w:rsidP="0089564E">
      <w:pPr>
        <w:pStyle w:val="ListParagraph"/>
        <w:numPr>
          <w:ilvl w:val="0"/>
          <w:numId w:val="2"/>
        </w:numPr>
        <w:jc w:val="both"/>
        <w:rPr>
          <w:rFonts w:ascii="Times New Roman" w:hAnsi="Times New Roman" w:cs="Times New Roman"/>
          <w:sz w:val="28"/>
          <w:szCs w:val="28"/>
        </w:rPr>
      </w:pPr>
      <w:r w:rsidRPr="00636753">
        <w:rPr>
          <w:rFonts w:ascii="Times New Roman" w:hAnsi="Times New Roman" w:cs="Times New Roman"/>
          <w:sz w:val="28"/>
          <w:szCs w:val="28"/>
        </w:rPr>
        <w:t xml:space="preserve">Peters, E. (2012). Beyond Comprehension. </w:t>
      </w:r>
      <w:r w:rsidRPr="00636753">
        <w:rPr>
          <w:rFonts w:ascii="Times New Roman" w:hAnsi="Times New Roman" w:cs="Times New Roman"/>
          <w:i/>
          <w:iCs/>
          <w:sz w:val="28"/>
          <w:szCs w:val="28"/>
        </w:rPr>
        <w:t>Current Directions in Psychological Science</w:t>
      </w:r>
      <w:r w:rsidRPr="00636753">
        <w:rPr>
          <w:rFonts w:ascii="Times New Roman" w:hAnsi="Times New Roman" w:cs="Times New Roman"/>
          <w:sz w:val="28"/>
          <w:szCs w:val="28"/>
        </w:rPr>
        <w:t>, 21(1), pp.31-35.</w:t>
      </w:r>
    </w:p>
    <w:p w14:paraId="4CD2D904" w14:textId="34030AA0" w:rsidR="00ED44BB" w:rsidRPr="00636753" w:rsidRDefault="00ED44BB" w:rsidP="00ED44BB">
      <w:pPr>
        <w:pStyle w:val="ListParagraph"/>
        <w:numPr>
          <w:ilvl w:val="0"/>
          <w:numId w:val="2"/>
        </w:numPr>
        <w:rPr>
          <w:rFonts w:ascii="Times New Roman" w:eastAsia="Times New Roman" w:hAnsi="Times New Roman" w:cs="Times New Roman"/>
          <w:sz w:val="28"/>
          <w:szCs w:val="28"/>
        </w:rPr>
      </w:pPr>
      <w:r w:rsidRPr="00636753">
        <w:rPr>
          <w:rFonts w:ascii="Times New Roman" w:eastAsia="Times New Roman" w:hAnsi="Times New Roman" w:cs="Times New Roman"/>
          <w:sz w:val="28"/>
          <w:szCs w:val="28"/>
          <w:shd w:val="clear" w:color="auto" w:fill="FFFFFF"/>
        </w:rPr>
        <w:t xml:space="preserve">McGraw, A., Larsen, J., </w:t>
      </w:r>
      <w:proofErr w:type="spellStart"/>
      <w:r w:rsidRPr="00636753">
        <w:rPr>
          <w:rFonts w:ascii="Times New Roman" w:eastAsia="Times New Roman" w:hAnsi="Times New Roman" w:cs="Times New Roman"/>
          <w:sz w:val="28"/>
          <w:szCs w:val="28"/>
          <w:shd w:val="clear" w:color="auto" w:fill="FFFFFF"/>
        </w:rPr>
        <w:t>Kahneman</w:t>
      </w:r>
      <w:proofErr w:type="spellEnd"/>
      <w:r w:rsidRPr="00636753">
        <w:rPr>
          <w:rFonts w:ascii="Times New Roman" w:eastAsia="Times New Roman" w:hAnsi="Times New Roman" w:cs="Times New Roman"/>
          <w:sz w:val="28"/>
          <w:szCs w:val="28"/>
          <w:shd w:val="clear" w:color="auto" w:fill="FFFFFF"/>
        </w:rPr>
        <w:t xml:space="preserve">, D. and </w:t>
      </w:r>
      <w:proofErr w:type="spellStart"/>
      <w:r w:rsidRPr="00636753">
        <w:rPr>
          <w:rFonts w:ascii="Times New Roman" w:eastAsia="Times New Roman" w:hAnsi="Times New Roman" w:cs="Times New Roman"/>
          <w:sz w:val="28"/>
          <w:szCs w:val="28"/>
          <w:shd w:val="clear" w:color="auto" w:fill="FFFFFF"/>
        </w:rPr>
        <w:t>Schkade</w:t>
      </w:r>
      <w:proofErr w:type="spellEnd"/>
      <w:r w:rsidRPr="00636753">
        <w:rPr>
          <w:rFonts w:ascii="Times New Roman" w:eastAsia="Times New Roman" w:hAnsi="Times New Roman" w:cs="Times New Roman"/>
          <w:sz w:val="28"/>
          <w:szCs w:val="28"/>
          <w:shd w:val="clear" w:color="auto" w:fill="FFFFFF"/>
        </w:rPr>
        <w:t>, D. (2010). Comparing Gains and Losses. </w:t>
      </w:r>
      <w:r w:rsidRPr="00636753">
        <w:rPr>
          <w:rFonts w:ascii="Times New Roman" w:eastAsia="Times New Roman" w:hAnsi="Times New Roman" w:cs="Times New Roman"/>
          <w:i/>
          <w:iCs/>
          <w:sz w:val="28"/>
          <w:szCs w:val="28"/>
        </w:rPr>
        <w:t>Psychological Science</w:t>
      </w:r>
      <w:r w:rsidRPr="00636753">
        <w:rPr>
          <w:rFonts w:ascii="Times New Roman" w:eastAsia="Times New Roman" w:hAnsi="Times New Roman" w:cs="Times New Roman"/>
          <w:sz w:val="28"/>
          <w:szCs w:val="28"/>
          <w:shd w:val="clear" w:color="auto" w:fill="FFFFFF"/>
        </w:rPr>
        <w:t>, 21(10), pp.1438-1445</w:t>
      </w:r>
      <w:r w:rsidR="000429A1">
        <w:rPr>
          <w:rFonts w:ascii="Times New Roman" w:eastAsia="Times New Roman" w:hAnsi="Times New Roman" w:cs="Times New Roman"/>
          <w:sz w:val="28"/>
          <w:szCs w:val="28"/>
          <w:shd w:val="clear" w:color="auto" w:fill="FFFFFF"/>
        </w:rPr>
        <w:t>.</w:t>
      </w:r>
    </w:p>
    <w:p w14:paraId="558BE60C" w14:textId="2FFF09F8" w:rsidR="00642A3F" w:rsidRPr="000429A1" w:rsidRDefault="00B032AC" w:rsidP="000429A1">
      <w:pPr>
        <w:pStyle w:val="ListParagraph"/>
        <w:numPr>
          <w:ilvl w:val="0"/>
          <w:numId w:val="2"/>
        </w:numPr>
        <w:rPr>
          <w:rFonts w:ascii="Times New Roman" w:eastAsia="Times New Roman" w:hAnsi="Times New Roman" w:cs="Times New Roman"/>
          <w:sz w:val="28"/>
          <w:szCs w:val="28"/>
        </w:rPr>
      </w:pPr>
      <w:proofErr w:type="spellStart"/>
      <w:r w:rsidRPr="001248DE">
        <w:rPr>
          <w:rFonts w:ascii="Times New Roman" w:eastAsia="Times New Roman" w:hAnsi="Times New Roman" w:cs="Times New Roman"/>
          <w:sz w:val="28"/>
          <w:szCs w:val="28"/>
          <w:shd w:val="clear" w:color="auto" w:fill="FFFFFF"/>
        </w:rPr>
        <w:t>Slovic</w:t>
      </w:r>
      <w:proofErr w:type="spellEnd"/>
      <w:r w:rsidRPr="001248DE">
        <w:rPr>
          <w:rFonts w:ascii="Times New Roman" w:eastAsia="Times New Roman" w:hAnsi="Times New Roman" w:cs="Times New Roman"/>
          <w:sz w:val="28"/>
          <w:szCs w:val="28"/>
          <w:shd w:val="clear" w:color="auto" w:fill="FFFFFF"/>
        </w:rPr>
        <w:t xml:space="preserve">, P., Monahan, J. and </w:t>
      </w:r>
      <w:proofErr w:type="spellStart"/>
      <w:r w:rsidRPr="001248DE">
        <w:rPr>
          <w:rFonts w:ascii="Times New Roman" w:eastAsia="Times New Roman" w:hAnsi="Times New Roman" w:cs="Times New Roman"/>
          <w:sz w:val="28"/>
          <w:szCs w:val="28"/>
          <w:shd w:val="clear" w:color="auto" w:fill="FFFFFF"/>
        </w:rPr>
        <w:t>MacGregor</w:t>
      </w:r>
      <w:proofErr w:type="spellEnd"/>
      <w:r w:rsidRPr="001248DE">
        <w:rPr>
          <w:rFonts w:ascii="Times New Roman" w:eastAsia="Times New Roman" w:hAnsi="Times New Roman" w:cs="Times New Roman"/>
          <w:sz w:val="28"/>
          <w:szCs w:val="28"/>
          <w:shd w:val="clear" w:color="auto" w:fill="FFFFFF"/>
        </w:rPr>
        <w:t>, D. (2000). Violence risk assessment and risk communication: The effects of using actual cases, providing instruction, and employing probability versus frequency formats. </w:t>
      </w:r>
      <w:r w:rsidRPr="001248DE">
        <w:rPr>
          <w:rFonts w:ascii="Times New Roman" w:eastAsia="Times New Roman" w:hAnsi="Times New Roman" w:cs="Times New Roman"/>
          <w:i/>
          <w:iCs/>
          <w:sz w:val="28"/>
          <w:szCs w:val="28"/>
        </w:rPr>
        <w:t>Law and Human Behavior</w:t>
      </w:r>
      <w:r w:rsidRPr="001248DE">
        <w:rPr>
          <w:rFonts w:ascii="Times New Roman" w:eastAsia="Times New Roman" w:hAnsi="Times New Roman" w:cs="Times New Roman"/>
          <w:sz w:val="28"/>
          <w:szCs w:val="28"/>
          <w:shd w:val="clear" w:color="auto" w:fill="FFFFFF"/>
        </w:rPr>
        <w:t>, 24(3), pp.271-296.</w:t>
      </w:r>
    </w:p>
    <w:p w14:paraId="662E2D22" w14:textId="654F7331" w:rsidR="000429A1" w:rsidRPr="000429A1" w:rsidRDefault="000429A1" w:rsidP="000429A1">
      <w:pPr>
        <w:pStyle w:val="ListParagraph"/>
        <w:numPr>
          <w:ilvl w:val="0"/>
          <w:numId w:val="2"/>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shd w:val="clear" w:color="auto" w:fill="FFFFFF"/>
        </w:rPr>
        <w:t>Cokely</w:t>
      </w:r>
      <w:proofErr w:type="spellEnd"/>
      <w:r>
        <w:rPr>
          <w:rFonts w:ascii="Times New Roman" w:eastAsia="Times New Roman" w:hAnsi="Times New Roman" w:cs="Times New Roman"/>
          <w:sz w:val="28"/>
          <w:szCs w:val="28"/>
          <w:shd w:val="clear" w:color="auto" w:fill="FFFFFF"/>
        </w:rPr>
        <w:t xml:space="preserve">, E., </w:t>
      </w:r>
      <w:proofErr w:type="spellStart"/>
      <w:r>
        <w:rPr>
          <w:rFonts w:ascii="Times New Roman" w:eastAsia="Times New Roman" w:hAnsi="Times New Roman" w:cs="Times New Roman"/>
          <w:sz w:val="28"/>
          <w:szCs w:val="28"/>
          <w:shd w:val="clear" w:color="auto" w:fill="FFFFFF"/>
        </w:rPr>
        <w:t>Galesic</w:t>
      </w:r>
      <w:proofErr w:type="spellEnd"/>
      <w:r>
        <w:rPr>
          <w:rFonts w:ascii="Times New Roman" w:eastAsia="Times New Roman" w:hAnsi="Times New Roman" w:cs="Times New Roman"/>
          <w:sz w:val="28"/>
          <w:szCs w:val="28"/>
          <w:shd w:val="clear" w:color="auto" w:fill="FFFFFF"/>
        </w:rPr>
        <w:t>, M., Schulz</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Ghazal S., and Garcia-</w:t>
      </w:r>
      <w:proofErr w:type="spellStart"/>
      <w:r>
        <w:rPr>
          <w:rFonts w:ascii="Times New Roman" w:eastAsia="Times New Roman" w:hAnsi="Times New Roman" w:cs="Times New Roman"/>
          <w:sz w:val="28"/>
          <w:szCs w:val="28"/>
          <w:shd w:val="clear" w:color="auto" w:fill="FFFFFF"/>
        </w:rPr>
        <w:t>Retamero</w:t>
      </w:r>
      <w:proofErr w:type="spellEnd"/>
      <w:r>
        <w:rPr>
          <w:rFonts w:ascii="Times New Roman" w:eastAsia="Times New Roman" w:hAnsi="Times New Roman" w:cs="Times New Roman"/>
          <w:sz w:val="28"/>
          <w:szCs w:val="28"/>
          <w:shd w:val="clear" w:color="auto" w:fill="FFFFFF"/>
        </w:rPr>
        <w:t xml:space="preserve">, R. (2012). Measuring Risk Literacy: The Berlin Numeracy Test. </w:t>
      </w:r>
      <w:proofErr w:type="spellStart"/>
      <w:r>
        <w:rPr>
          <w:rFonts w:ascii="Times New Roman" w:eastAsia="Times New Roman" w:hAnsi="Times New Roman" w:cs="Times New Roman"/>
          <w:i/>
          <w:sz w:val="28"/>
          <w:szCs w:val="28"/>
          <w:shd w:val="clear" w:color="auto" w:fill="FFFFFF"/>
        </w:rPr>
        <w:t>Judgement</w:t>
      </w:r>
      <w:proofErr w:type="spellEnd"/>
      <w:r>
        <w:rPr>
          <w:rFonts w:ascii="Times New Roman" w:eastAsia="Times New Roman" w:hAnsi="Times New Roman" w:cs="Times New Roman"/>
          <w:i/>
          <w:sz w:val="28"/>
          <w:szCs w:val="28"/>
          <w:shd w:val="clear" w:color="auto" w:fill="FFFFFF"/>
        </w:rPr>
        <w:t xml:space="preserve"> and Decision Making</w:t>
      </w:r>
      <w:r>
        <w:rPr>
          <w:rFonts w:ascii="Times New Roman" w:eastAsia="Times New Roman" w:hAnsi="Times New Roman" w:cs="Times New Roman"/>
          <w:sz w:val="28"/>
          <w:szCs w:val="28"/>
          <w:shd w:val="clear" w:color="auto" w:fill="FFFFFF"/>
        </w:rPr>
        <w:t>, 7(1), pp. 25-47.</w:t>
      </w:r>
    </w:p>
    <w:sectPr w:rsidR="000429A1" w:rsidRPr="000429A1" w:rsidSect="00332C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864DE" w14:textId="77777777" w:rsidR="00642A3F" w:rsidRDefault="00642A3F" w:rsidP="00B032AC">
      <w:r>
        <w:separator/>
      </w:r>
    </w:p>
  </w:endnote>
  <w:endnote w:type="continuationSeparator" w:id="0">
    <w:p w14:paraId="53FCF0E3" w14:textId="77777777" w:rsidR="00642A3F" w:rsidRDefault="00642A3F" w:rsidP="00B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8F8B" w14:textId="77777777" w:rsidR="00642A3F" w:rsidRDefault="00642A3F" w:rsidP="00B032AC">
      <w:r>
        <w:separator/>
      </w:r>
    </w:p>
  </w:footnote>
  <w:footnote w:type="continuationSeparator" w:id="0">
    <w:p w14:paraId="58647774" w14:textId="77777777" w:rsidR="00642A3F" w:rsidRDefault="00642A3F" w:rsidP="00B032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E24"/>
    <w:multiLevelType w:val="hybridMultilevel"/>
    <w:tmpl w:val="6BE467EA"/>
    <w:lvl w:ilvl="0" w:tplc="F578B560">
      <w:start w:val="1"/>
      <w:numFmt w:val="bullet"/>
      <w:lvlText w:val=""/>
      <w:lvlJc w:val="left"/>
      <w:pPr>
        <w:tabs>
          <w:tab w:val="num" w:pos="720"/>
        </w:tabs>
        <w:ind w:left="720" w:hanging="360"/>
      </w:pPr>
      <w:rPr>
        <w:rFonts w:ascii="Wingdings 2" w:hAnsi="Wingdings 2" w:hint="default"/>
      </w:rPr>
    </w:lvl>
    <w:lvl w:ilvl="1" w:tplc="A7F4C8D6" w:tentative="1">
      <w:start w:val="1"/>
      <w:numFmt w:val="bullet"/>
      <w:lvlText w:val=""/>
      <w:lvlJc w:val="left"/>
      <w:pPr>
        <w:tabs>
          <w:tab w:val="num" w:pos="1440"/>
        </w:tabs>
        <w:ind w:left="1440" w:hanging="360"/>
      </w:pPr>
      <w:rPr>
        <w:rFonts w:ascii="Wingdings 2" w:hAnsi="Wingdings 2" w:hint="default"/>
      </w:rPr>
    </w:lvl>
    <w:lvl w:ilvl="2" w:tplc="3C20FDC0" w:tentative="1">
      <w:start w:val="1"/>
      <w:numFmt w:val="bullet"/>
      <w:lvlText w:val=""/>
      <w:lvlJc w:val="left"/>
      <w:pPr>
        <w:tabs>
          <w:tab w:val="num" w:pos="2160"/>
        </w:tabs>
        <w:ind w:left="2160" w:hanging="360"/>
      </w:pPr>
      <w:rPr>
        <w:rFonts w:ascii="Wingdings 2" w:hAnsi="Wingdings 2" w:hint="default"/>
      </w:rPr>
    </w:lvl>
    <w:lvl w:ilvl="3" w:tplc="3E2A439E" w:tentative="1">
      <w:start w:val="1"/>
      <w:numFmt w:val="bullet"/>
      <w:lvlText w:val=""/>
      <w:lvlJc w:val="left"/>
      <w:pPr>
        <w:tabs>
          <w:tab w:val="num" w:pos="2880"/>
        </w:tabs>
        <w:ind w:left="2880" w:hanging="360"/>
      </w:pPr>
      <w:rPr>
        <w:rFonts w:ascii="Wingdings 2" w:hAnsi="Wingdings 2" w:hint="default"/>
      </w:rPr>
    </w:lvl>
    <w:lvl w:ilvl="4" w:tplc="6E985A0C" w:tentative="1">
      <w:start w:val="1"/>
      <w:numFmt w:val="bullet"/>
      <w:lvlText w:val=""/>
      <w:lvlJc w:val="left"/>
      <w:pPr>
        <w:tabs>
          <w:tab w:val="num" w:pos="3600"/>
        </w:tabs>
        <w:ind w:left="3600" w:hanging="360"/>
      </w:pPr>
      <w:rPr>
        <w:rFonts w:ascii="Wingdings 2" w:hAnsi="Wingdings 2" w:hint="default"/>
      </w:rPr>
    </w:lvl>
    <w:lvl w:ilvl="5" w:tplc="DA10134E" w:tentative="1">
      <w:start w:val="1"/>
      <w:numFmt w:val="bullet"/>
      <w:lvlText w:val=""/>
      <w:lvlJc w:val="left"/>
      <w:pPr>
        <w:tabs>
          <w:tab w:val="num" w:pos="4320"/>
        </w:tabs>
        <w:ind w:left="4320" w:hanging="360"/>
      </w:pPr>
      <w:rPr>
        <w:rFonts w:ascii="Wingdings 2" w:hAnsi="Wingdings 2" w:hint="default"/>
      </w:rPr>
    </w:lvl>
    <w:lvl w:ilvl="6" w:tplc="04044AD6" w:tentative="1">
      <w:start w:val="1"/>
      <w:numFmt w:val="bullet"/>
      <w:lvlText w:val=""/>
      <w:lvlJc w:val="left"/>
      <w:pPr>
        <w:tabs>
          <w:tab w:val="num" w:pos="5040"/>
        </w:tabs>
        <w:ind w:left="5040" w:hanging="360"/>
      </w:pPr>
      <w:rPr>
        <w:rFonts w:ascii="Wingdings 2" w:hAnsi="Wingdings 2" w:hint="default"/>
      </w:rPr>
    </w:lvl>
    <w:lvl w:ilvl="7" w:tplc="81BC9650" w:tentative="1">
      <w:start w:val="1"/>
      <w:numFmt w:val="bullet"/>
      <w:lvlText w:val=""/>
      <w:lvlJc w:val="left"/>
      <w:pPr>
        <w:tabs>
          <w:tab w:val="num" w:pos="5760"/>
        </w:tabs>
        <w:ind w:left="5760" w:hanging="360"/>
      </w:pPr>
      <w:rPr>
        <w:rFonts w:ascii="Wingdings 2" w:hAnsi="Wingdings 2" w:hint="default"/>
      </w:rPr>
    </w:lvl>
    <w:lvl w:ilvl="8" w:tplc="281642D8" w:tentative="1">
      <w:start w:val="1"/>
      <w:numFmt w:val="bullet"/>
      <w:lvlText w:val=""/>
      <w:lvlJc w:val="left"/>
      <w:pPr>
        <w:tabs>
          <w:tab w:val="num" w:pos="6480"/>
        </w:tabs>
        <w:ind w:left="6480" w:hanging="360"/>
      </w:pPr>
      <w:rPr>
        <w:rFonts w:ascii="Wingdings 2" w:hAnsi="Wingdings 2" w:hint="default"/>
      </w:rPr>
    </w:lvl>
  </w:abstractNum>
  <w:abstractNum w:abstractNumId="1">
    <w:nsid w:val="1B8272A3"/>
    <w:multiLevelType w:val="hybridMultilevel"/>
    <w:tmpl w:val="455A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90F20"/>
    <w:multiLevelType w:val="hybridMultilevel"/>
    <w:tmpl w:val="FCC8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44846"/>
    <w:multiLevelType w:val="hybridMultilevel"/>
    <w:tmpl w:val="E0408396"/>
    <w:lvl w:ilvl="0" w:tplc="7DE8D4F0">
      <w:start w:val="1"/>
      <w:numFmt w:val="bullet"/>
      <w:lvlText w:val=""/>
      <w:lvlJc w:val="left"/>
      <w:pPr>
        <w:tabs>
          <w:tab w:val="num" w:pos="720"/>
        </w:tabs>
        <w:ind w:left="720" w:hanging="360"/>
      </w:pPr>
      <w:rPr>
        <w:rFonts w:ascii="Wingdings 2" w:hAnsi="Wingdings 2" w:hint="default"/>
      </w:rPr>
    </w:lvl>
    <w:lvl w:ilvl="1" w:tplc="9FAC059C" w:tentative="1">
      <w:start w:val="1"/>
      <w:numFmt w:val="bullet"/>
      <w:lvlText w:val=""/>
      <w:lvlJc w:val="left"/>
      <w:pPr>
        <w:tabs>
          <w:tab w:val="num" w:pos="1440"/>
        </w:tabs>
        <w:ind w:left="1440" w:hanging="360"/>
      </w:pPr>
      <w:rPr>
        <w:rFonts w:ascii="Wingdings 2" w:hAnsi="Wingdings 2" w:hint="default"/>
      </w:rPr>
    </w:lvl>
    <w:lvl w:ilvl="2" w:tplc="9D74FC16" w:tentative="1">
      <w:start w:val="1"/>
      <w:numFmt w:val="bullet"/>
      <w:lvlText w:val=""/>
      <w:lvlJc w:val="left"/>
      <w:pPr>
        <w:tabs>
          <w:tab w:val="num" w:pos="2160"/>
        </w:tabs>
        <w:ind w:left="2160" w:hanging="360"/>
      </w:pPr>
      <w:rPr>
        <w:rFonts w:ascii="Wingdings 2" w:hAnsi="Wingdings 2" w:hint="default"/>
      </w:rPr>
    </w:lvl>
    <w:lvl w:ilvl="3" w:tplc="6E66D7F0" w:tentative="1">
      <w:start w:val="1"/>
      <w:numFmt w:val="bullet"/>
      <w:lvlText w:val=""/>
      <w:lvlJc w:val="left"/>
      <w:pPr>
        <w:tabs>
          <w:tab w:val="num" w:pos="2880"/>
        </w:tabs>
        <w:ind w:left="2880" w:hanging="360"/>
      </w:pPr>
      <w:rPr>
        <w:rFonts w:ascii="Wingdings 2" w:hAnsi="Wingdings 2" w:hint="default"/>
      </w:rPr>
    </w:lvl>
    <w:lvl w:ilvl="4" w:tplc="B554E7C4" w:tentative="1">
      <w:start w:val="1"/>
      <w:numFmt w:val="bullet"/>
      <w:lvlText w:val=""/>
      <w:lvlJc w:val="left"/>
      <w:pPr>
        <w:tabs>
          <w:tab w:val="num" w:pos="3600"/>
        </w:tabs>
        <w:ind w:left="3600" w:hanging="360"/>
      </w:pPr>
      <w:rPr>
        <w:rFonts w:ascii="Wingdings 2" w:hAnsi="Wingdings 2" w:hint="default"/>
      </w:rPr>
    </w:lvl>
    <w:lvl w:ilvl="5" w:tplc="CC8A7DE2" w:tentative="1">
      <w:start w:val="1"/>
      <w:numFmt w:val="bullet"/>
      <w:lvlText w:val=""/>
      <w:lvlJc w:val="left"/>
      <w:pPr>
        <w:tabs>
          <w:tab w:val="num" w:pos="4320"/>
        </w:tabs>
        <w:ind w:left="4320" w:hanging="360"/>
      </w:pPr>
      <w:rPr>
        <w:rFonts w:ascii="Wingdings 2" w:hAnsi="Wingdings 2" w:hint="default"/>
      </w:rPr>
    </w:lvl>
    <w:lvl w:ilvl="6" w:tplc="D564DC06" w:tentative="1">
      <w:start w:val="1"/>
      <w:numFmt w:val="bullet"/>
      <w:lvlText w:val=""/>
      <w:lvlJc w:val="left"/>
      <w:pPr>
        <w:tabs>
          <w:tab w:val="num" w:pos="5040"/>
        </w:tabs>
        <w:ind w:left="5040" w:hanging="360"/>
      </w:pPr>
      <w:rPr>
        <w:rFonts w:ascii="Wingdings 2" w:hAnsi="Wingdings 2" w:hint="default"/>
      </w:rPr>
    </w:lvl>
    <w:lvl w:ilvl="7" w:tplc="5A561D50" w:tentative="1">
      <w:start w:val="1"/>
      <w:numFmt w:val="bullet"/>
      <w:lvlText w:val=""/>
      <w:lvlJc w:val="left"/>
      <w:pPr>
        <w:tabs>
          <w:tab w:val="num" w:pos="5760"/>
        </w:tabs>
        <w:ind w:left="5760" w:hanging="360"/>
      </w:pPr>
      <w:rPr>
        <w:rFonts w:ascii="Wingdings 2" w:hAnsi="Wingdings 2" w:hint="default"/>
      </w:rPr>
    </w:lvl>
    <w:lvl w:ilvl="8" w:tplc="E3ACECE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72"/>
    <w:rsid w:val="00031D9F"/>
    <w:rsid w:val="00040531"/>
    <w:rsid w:val="00042469"/>
    <w:rsid w:val="000429A1"/>
    <w:rsid w:val="00054321"/>
    <w:rsid w:val="000562B8"/>
    <w:rsid w:val="000A5197"/>
    <w:rsid w:val="000C2B4F"/>
    <w:rsid w:val="000F4953"/>
    <w:rsid w:val="001001C8"/>
    <w:rsid w:val="001248DE"/>
    <w:rsid w:val="00152001"/>
    <w:rsid w:val="0016009A"/>
    <w:rsid w:val="001673CA"/>
    <w:rsid w:val="00170AE4"/>
    <w:rsid w:val="001854E1"/>
    <w:rsid w:val="001939AF"/>
    <w:rsid w:val="001C6705"/>
    <w:rsid w:val="001D24FD"/>
    <w:rsid w:val="001E0AC8"/>
    <w:rsid w:val="002133F6"/>
    <w:rsid w:val="00244149"/>
    <w:rsid w:val="00253B48"/>
    <w:rsid w:val="002627D3"/>
    <w:rsid w:val="00265180"/>
    <w:rsid w:val="0027068A"/>
    <w:rsid w:val="00294A8B"/>
    <w:rsid w:val="002A5A77"/>
    <w:rsid w:val="002E1826"/>
    <w:rsid w:val="002E3F02"/>
    <w:rsid w:val="003071E6"/>
    <w:rsid w:val="0031707A"/>
    <w:rsid w:val="0032117D"/>
    <w:rsid w:val="003318DB"/>
    <w:rsid w:val="00332C17"/>
    <w:rsid w:val="003442E0"/>
    <w:rsid w:val="00346467"/>
    <w:rsid w:val="00346B48"/>
    <w:rsid w:val="00364D1C"/>
    <w:rsid w:val="003670CF"/>
    <w:rsid w:val="00375A90"/>
    <w:rsid w:val="00376CAB"/>
    <w:rsid w:val="003A78B1"/>
    <w:rsid w:val="003B09CB"/>
    <w:rsid w:val="003C1228"/>
    <w:rsid w:val="003D7A3F"/>
    <w:rsid w:val="00403CB3"/>
    <w:rsid w:val="00466172"/>
    <w:rsid w:val="004942D9"/>
    <w:rsid w:val="004A2048"/>
    <w:rsid w:val="004B0F72"/>
    <w:rsid w:val="004C3392"/>
    <w:rsid w:val="004C5BB7"/>
    <w:rsid w:val="004F06AD"/>
    <w:rsid w:val="005012F0"/>
    <w:rsid w:val="00543711"/>
    <w:rsid w:val="00555D1C"/>
    <w:rsid w:val="0056121B"/>
    <w:rsid w:val="00567183"/>
    <w:rsid w:val="005865CA"/>
    <w:rsid w:val="0059500F"/>
    <w:rsid w:val="005A1783"/>
    <w:rsid w:val="005C2908"/>
    <w:rsid w:val="006002F3"/>
    <w:rsid w:val="00605933"/>
    <w:rsid w:val="00607455"/>
    <w:rsid w:val="00611EAA"/>
    <w:rsid w:val="00627439"/>
    <w:rsid w:val="00636753"/>
    <w:rsid w:val="006410E8"/>
    <w:rsid w:val="00641973"/>
    <w:rsid w:val="00642A3F"/>
    <w:rsid w:val="00646FF4"/>
    <w:rsid w:val="00656C20"/>
    <w:rsid w:val="006753F6"/>
    <w:rsid w:val="00690161"/>
    <w:rsid w:val="006D6D32"/>
    <w:rsid w:val="006E01DF"/>
    <w:rsid w:val="007068CF"/>
    <w:rsid w:val="0070790F"/>
    <w:rsid w:val="00716E6F"/>
    <w:rsid w:val="00754F35"/>
    <w:rsid w:val="00756D80"/>
    <w:rsid w:val="00774E14"/>
    <w:rsid w:val="00784D14"/>
    <w:rsid w:val="00795BAE"/>
    <w:rsid w:val="00797730"/>
    <w:rsid w:val="007C0291"/>
    <w:rsid w:val="007C2DB2"/>
    <w:rsid w:val="007D55D2"/>
    <w:rsid w:val="00801723"/>
    <w:rsid w:val="00801F1C"/>
    <w:rsid w:val="008441D0"/>
    <w:rsid w:val="00867C36"/>
    <w:rsid w:val="008806BB"/>
    <w:rsid w:val="008830B0"/>
    <w:rsid w:val="0089564E"/>
    <w:rsid w:val="008C557A"/>
    <w:rsid w:val="008F4F5F"/>
    <w:rsid w:val="009210D8"/>
    <w:rsid w:val="00930D14"/>
    <w:rsid w:val="009417DB"/>
    <w:rsid w:val="00952C3E"/>
    <w:rsid w:val="009D50D8"/>
    <w:rsid w:val="009D6228"/>
    <w:rsid w:val="00A06C24"/>
    <w:rsid w:val="00A4271B"/>
    <w:rsid w:val="00A42B54"/>
    <w:rsid w:val="00A43C54"/>
    <w:rsid w:val="00A60E08"/>
    <w:rsid w:val="00A73395"/>
    <w:rsid w:val="00A96723"/>
    <w:rsid w:val="00A96C03"/>
    <w:rsid w:val="00AB262F"/>
    <w:rsid w:val="00AE611F"/>
    <w:rsid w:val="00AE6618"/>
    <w:rsid w:val="00AF0216"/>
    <w:rsid w:val="00B01568"/>
    <w:rsid w:val="00B032AC"/>
    <w:rsid w:val="00B12D95"/>
    <w:rsid w:val="00B25F09"/>
    <w:rsid w:val="00B318E0"/>
    <w:rsid w:val="00B34B1B"/>
    <w:rsid w:val="00B50867"/>
    <w:rsid w:val="00B514A7"/>
    <w:rsid w:val="00B54A1F"/>
    <w:rsid w:val="00B6629E"/>
    <w:rsid w:val="00B774B5"/>
    <w:rsid w:val="00B80538"/>
    <w:rsid w:val="00B833A7"/>
    <w:rsid w:val="00BB1636"/>
    <w:rsid w:val="00BD4271"/>
    <w:rsid w:val="00C10E01"/>
    <w:rsid w:val="00C4348C"/>
    <w:rsid w:val="00C52E8B"/>
    <w:rsid w:val="00C57A5A"/>
    <w:rsid w:val="00C649E8"/>
    <w:rsid w:val="00C84C96"/>
    <w:rsid w:val="00CA3C8F"/>
    <w:rsid w:val="00CC3C0F"/>
    <w:rsid w:val="00CE31AE"/>
    <w:rsid w:val="00CE7B91"/>
    <w:rsid w:val="00D0633C"/>
    <w:rsid w:val="00D40065"/>
    <w:rsid w:val="00D42AB3"/>
    <w:rsid w:val="00D51A6C"/>
    <w:rsid w:val="00D570E5"/>
    <w:rsid w:val="00D62186"/>
    <w:rsid w:val="00D65C2E"/>
    <w:rsid w:val="00D91324"/>
    <w:rsid w:val="00D97625"/>
    <w:rsid w:val="00DC0A30"/>
    <w:rsid w:val="00E10DC3"/>
    <w:rsid w:val="00E12E40"/>
    <w:rsid w:val="00E50044"/>
    <w:rsid w:val="00E53DBA"/>
    <w:rsid w:val="00E9330E"/>
    <w:rsid w:val="00EB3E4B"/>
    <w:rsid w:val="00EB7C6A"/>
    <w:rsid w:val="00EC1554"/>
    <w:rsid w:val="00ED44BB"/>
    <w:rsid w:val="00ED6A1E"/>
    <w:rsid w:val="00EF0C99"/>
    <w:rsid w:val="00F256D8"/>
    <w:rsid w:val="00F32E28"/>
    <w:rsid w:val="00F6292D"/>
    <w:rsid w:val="00F94B31"/>
    <w:rsid w:val="00FA206E"/>
    <w:rsid w:val="00FA55FD"/>
    <w:rsid w:val="00FD2537"/>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7A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2"/>
    <w:pPr>
      <w:ind w:left="720"/>
      <w:contextualSpacing/>
    </w:pPr>
  </w:style>
  <w:style w:type="character" w:customStyle="1" w:styleId="apple-converted-space">
    <w:name w:val="apple-converted-space"/>
    <w:basedOn w:val="DefaultParagraphFont"/>
    <w:rsid w:val="00ED44BB"/>
  </w:style>
  <w:style w:type="character" w:styleId="Hyperlink">
    <w:name w:val="Hyperlink"/>
    <w:basedOn w:val="DefaultParagraphFont"/>
    <w:uiPriority w:val="99"/>
    <w:unhideWhenUsed/>
    <w:rsid w:val="00627439"/>
    <w:rPr>
      <w:color w:val="0000FF" w:themeColor="hyperlink"/>
      <w:u w:val="single"/>
    </w:rPr>
  </w:style>
  <w:style w:type="character" w:styleId="FollowedHyperlink">
    <w:name w:val="FollowedHyperlink"/>
    <w:basedOn w:val="DefaultParagraphFont"/>
    <w:uiPriority w:val="99"/>
    <w:semiHidden/>
    <w:unhideWhenUsed/>
    <w:rsid w:val="009210D8"/>
    <w:rPr>
      <w:color w:val="800080" w:themeColor="followedHyperlink"/>
      <w:u w:val="single"/>
    </w:rPr>
  </w:style>
  <w:style w:type="paragraph" w:styleId="BalloonText">
    <w:name w:val="Balloon Text"/>
    <w:basedOn w:val="Normal"/>
    <w:link w:val="BalloonTextChar"/>
    <w:uiPriority w:val="99"/>
    <w:semiHidden/>
    <w:unhideWhenUsed/>
    <w:rsid w:val="005A1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783"/>
    <w:rPr>
      <w:rFonts w:ascii="Lucida Grande" w:hAnsi="Lucida Grande" w:cs="Lucida Grande"/>
      <w:sz w:val="18"/>
      <w:szCs w:val="18"/>
    </w:rPr>
  </w:style>
  <w:style w:type="character" w:styleId="PlaceholderText">
    <w:name w:val="Placeholder Text"/>
    <w:basedOn w:val="DefaultParagraphFont"/>
    <w:uiPriority w:val="99"/>
    <w:semiHidden/>
    <w:rsid w:val="006E01DF"/>
    <w:rPr>
      <w:color w:val="808080"/>
    </w:rPr>
  </w:style>
  <w:style w:type="paragraph" w:styleId="Header">
    <w:name w:val="header"/>
    <w:basedOn w:val="Normal"/>
    <w:link w:val="HeaderChar"/>
    <w:uiPriority w:val="99"/>
    <w:unhideWhenUsed/>
    <w:rsid w:val="00B032AC"/>
    <w:pPr>
      <w:tabs>
        <w:tab w:val="center" w:pos="4320"/>
        <w:tab w:val="right" w:pos="8640"/>
      </w:tabs>
    </w:pPr>
  </w:style>
  <w:style w:type="character" w:customStyle="1" w:styleId="HeaderChar">
    <w:name w:val="Header Char"/>
    <w:basedOn w:val="DefaultParagraphFont"/>
    <w:link w:val="Header"/>
    <w:uiPriority w:val="99"/>
    <w:rsid w:val="00B032AC"/>
  </w:style>
  <w:style w:type="paragraph" w:styleId="Footer">
    <w:name w:val="footer"/>
    <w:basedOn w:val="Normal"/>
    <w:link w:val="FooterChar"/>
    <w:uiPriority w:val="99"/>
    <w:unhideWhenUsed/>
    <w:rsid w:val="00B032AC"/>
    <w:pPr>
      <w:tabs>
        <w:tab w:val="center" w:pos="4320"/>
        <w:tab w:val="right" w:pos="8640"/>
      </w:tabs>
    </w:pPr>
  </w:style>
  <w:style w:type="character" w:customStyle="1" w:styleId="FooterChar">
    <w:name w:val="Footer Char"/>
    <w:basedOn w:val="DefaultParagraphFont"/>
    <w:link w:val="Footer"/>
    <w:uiPriority w:val="99"/>
    <w:rsid w:val="00B03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2"/>
    <w:pPr>
      <w:ind w:left="720"/>
      <w:contextualSpacing/>
    </w:pPr>
  </w:style>
  <w:style w:type="character" w:customStyle="1" w:styleId="apple-converted-space">
    <w:name w:val="apple-converted-space"/>
    <w:basedOn w:val="DefaultParagraphFont"/>
    <w:rsid w:val="00ED44BB"/>
  </w:style>
  <w:style w:type="character" w:styleId="Hyperlink">
    <w:name w:val="Hyperlink"/>
    <w:basedOn w:val="DefaultParagraphFont"/>
    <w:uiPriority w:val="99"/>
    <w:unhideWhenUsed/>
    <w:rsid w:val="00627439"/>
    <w:rPr>
      <w:color w:val="0000FF" w:themeColor="hyperlink"/>
      <w:u w:val="single"/>
    </w:rPr>
  </w:style>
  <w:style w:type="character" w:styleId="FollowedHyperlink">
    <w:name w:val="FollowedHyperlink"/>
    <w:basedOn w:val="DefaultParagraphFont"/>
    <w:uiPriority w:val="99"/>
    <w:semiHidden/>
    <w:unhideWhenUsed/>
    <w:rsid w:val="009210D8"/>
    <w:rPr>
      <w:color w:val="800080" w:themeColor="followedHyperlink"/>
      <w:u w:val="single"/>
    </w:rPr>
  </w:style>
  <w:style w:type="paragraph" w:styleId="BalloonText">
    <w:name w:val="Balloon Text"/>
    <w:basedOn w:val="Normal"/>
    <w:link w:val="BalloonTextChar"/>
    <w:uiPriority w:val="99"/>
    <w:semiHidden/>
    <w:unhideWhenUsed/>
    <w:rsid w:val="005A1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783"/>
    <w:rPr>
      <w:rFonts w:ascii="Lucida Grande" w:hAnsi="Lucida Grande" w:cs="Lucida Grande"/>
      <w:sz w:val="18"/>
      <w:szCs w:val="18"/>
    </w:rPr>
  </w:style>
  <w:style w:type="character" w:styleId="PlaceholderText">
    <w:name w:val="Placeholder Text"/>
    <w:basedOn w:val="DefaultParagraphFont"/>
    <w:uiPriority w:val="99"/>
    <w:semiHidden/>
    <w:rsid w:val="006E01DF"/>
    <w:rPr>
      <w:color w:val="808080"/>
    </w:rPr>
  </w:style>
  <w:style w:type="paragraph" w:styleId="Header">
    <w:name w:val="header"/>
    <w:basedOn w:val="Normal"/>
    <w:link w:val="HeaderChar"/>
    <w:uiPriority w:val="99"/>
    <w:unhideWhenUsed/>
    <w:rsid w:val="00B032AC"/>
    <w:pPr>
      <w:tabs>
        <w:tab w:val="center" w:pos="4320"/>
        <w:tab w:val="right" w:pos="8640"/>
      </w:tabs>
    </w:pPr>
  </w:style>
  <w:style w:type="character" w:customStyle="1" w:styleId="HeaderChar">
    <w:name w:val="Header Char"/>
    <w:basedOn w:val="DefaultParagraphFont"/>
    <w:link w:val="Header"/>
    <w:uiPriority w:val="99"/>
    <w:rsid w:val="00B032AC"/>
  </w:style>
  <w:style w:type="paragraph" w:styleId="Footer">
    <w:name w:val="footer"/>
    <w:basedOn w:val="Normal"/>
    <w:link w:val="FooterChar"/>
    <w:uiPriority w:val="99"/>
    <w:unhideWhenUsed/>
    <w:rsid w:val="00B032AC"/>
    <w:pPr>
      <w:tabs>
        <w:tab w:val="center" w:pos="4320"/>
        <w:tab w:val="right" w:pos="8640"/>
      </w:tabs>
    </w:pPr>
  </w:style>
  <w:style w:type="character" w:customStyle="1" w:styleId="FooterChar">
    <w:name w:val="Footer Char"/>
    <w:basedOn w:val="DefaultParagraphFont"/>
    <w:link w:val="Footer"/>
    <w:uiPriority w:val="99"/>
    <w:rsid w:val="00B0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7910">
      <w:bodyDiv w:val="1"/>
      <w:marLeft w:val="0"/>
      <w:marRight w:val="0"/>
      <w:marTop w:val="0"/>
      <w:marBottom w:val="0"/>
      <w:divBdr>
        <w:top w:val="none" w:sz="0" w:space="0" w:color="auto"/>
        <w:left w:val="none" w:sz="0" w:space="0" w:color="auto"/>
        <w:bottom w:val="none" w:sz="0" w:space="0" w:color="auto"/>
        <w:right w:val="none" w:sz="0" w:space="0" w:color="auto"/>
      </w:divBdr>
    </w:div>
    <w:div w:id="601718197">
      <w:bodyDiv w:val="1"/>
      <w:marLeft w:val="0"/>
      <w:marRight w:val="0"/>
      <w:marTop w:val="0"/>
      <w:marBottom w:val="0"/>
      <w:divBdr>
        <w:top w:val="none" w:sz="0" w:space="0" w:color="auto"/>
        <w:left w:val="none" w:sz="0" w:space="0" w:color="auto"/>
        <w:bottom w:val="none" w:sz="0" w:space="0" w:color="auto"/>
        <w:right w:val="none" w:sz="0" w:space="0" w:color="auto"/>
      </w:divBdr>
    </w:div>
    <w:div w:id="806364564">
      <w:bodyDiv w:val="1"/>
      <w:marLeft w:val="0"/>
      <w:marRight w:val="0"/>
      <w:marTop w:val="0"/>
      <w:marBottom w:val="0"/>
      <w:divBdr>
        <w:top w:val="none" w:sz="0" w:space="0" w:color="auto"/>
        <w:left w:val="none" w:sz="0" w:space="0" w:color="auto"/>
        <w:bottom w:val="none" w:sz="0" w:space="0" w:color="auto"/>
        <w:right w:val="none" w:sz="0" w:space="0" w:color="auto"/>
      </w:divBdr>
      <w:divsChild>
        <w:div w:id="2025862316">
          <w:marLeft w:val="547"/>
          <w:marRight w:val="0"/>
          <w:marTop w:val="400"/>
          <w:marBottom w:val="0"/>
          <w:divBdr>
            <w:top w:val="none" w:sz="0" w:space="0" w:color="auto"/>
            <w:left w:val="none" w:sz="0" w:space="0" w:color="auto"/>
            <w:bottom w:val="none" w:sz="0" w:space="0" w:color="auto"/>
            <w:right w:val="none" w:sz="0" w:space="0" w:color="auto"/>
          </w:divBdr>
        </w:div>
      </w:divsChild>
    </w:div>
    <w:div w:id="845705265">
      <w:bodyDiv w:val="1"/>
      <w:marLeft w:val="0"/>
      <w:marRight w:val="0"/>
      <w:marTop w:val="0"/>
      <w:marBottom w:val="0"/>
      <w:divBdr>
        <w:top w:val="none" w:sz="0" w:space="0" w:color="auto"/>
        <w:left w:val="none" w:sz="0" w:space="0" w:color="auto"/>
        <w:bottom w:val="none" w:sz="0" w:space="0" w:color="auto"/>
        <w:right w:val="none" w:sz="0" w:space="0" w:color="auto"/>
      </w:divBdr>
      <w:divsChild>
        <w:div w:id="508519115">
          <w:marLeft w:val="547"/>
          <w:marRight w:val="0"/>
          <w:marTop w:val="400"/>
          <w:marBottom w:val="0"/>
          <w:divBdr>
            <w:top w:val="none" w:sz="0" w:space="0" w:color="auto"/>
            <w:left w:val="none" w:sz="0" w:space="0" w:color="auto"/>
            <w:bottom w:val="none" w:sz="0" w:space="0" w:color="auto"/>
            <w:right w:val="none" w:sz="0" w:space="0" w:color="auto"/>
          </w:divBdr>
        </w:div>
      </w:divsChild>
    </w:div>
    <w:div w:id="920873352">
      <w:bodyDiv w:val="1"/>
      <w:marLeft w:val="0"/>
      <w:marRight w:val="0"/>
      <w:marTop w:val="0"/>
      <w:marBottom w:val="0"/>
      <w:divBdr>
        <w:top w:val="none" w:sz="0" w:space="0" w:color="auto"/>
        <w:left w:val="none" w:sz="0" w:space="0" w:color="auto"/>
        <w:bottom w:val="none" w:sz="0" w:space="0" w:color="auto"/>
        <w:right w:val="none" w:sz="0" w:space="0" w:color="auto"/>
      </w:divBdr>
      <w:divsChild>
        <w:div w:id="528225561">
          <w:marLeft w:val="547"/>
          <w:marRight w:val="0"/>
          <w:marTop w:val="400"/>
          <w:marBottom w:val="0"/>
          <w:divBdr>
            <w:top w:val="none" w:sz="0" w:space="0" w:color="auto"/>
            <w:left w:val="none" w:sz="0" w:space="0" w:color="auto"/>
            <w:bottom w:val="none" w:sz="0" w:space="0" w:color="auto"/>
            <w:right w:val="none" w:sz="0" w:space="0" w:color="auto"/>
          </w:divBdr>
        </w:div>
        <w:div w:id="732317746">
          <w:marLeft w:val="547"/>
          <w:marRight w:val="0"/>
          <w:marTop w:val="400"/>
          <w:marBottom w:val="0"/>
          <w:divBdr>
            <w:top w:val="none" w:sz="0" w:space="0" w:color="auto"/>
            <w:left w:val="none" w:sz="0" w:space="0" w:color="auto"/>
            <w:bottom w:val="none" w:sz="0" w:space="0" w:color="auto"/>
            <w:right w:val="none" w:sz="0" w:space="0" w:color="auto"/>
          </w:divBdr>
        </w:div>
      </w:divsChild>
    </w:div>
    <w:div w:id="1006253316">
      <w:bodyDiv w:val="1"/>
      <w:marLeft w:val="0"/>
      <w:marRight w:val="0"/>
      <w:marTop w:val="0"/>
      <w:marBottom w:val="0"/>
      <w:divBdr>
        <w:top w:val="none" w:sz="0" w:space="0" w:color="auto"/>
        <w:left w:val="none" w:sz="0" w:space="0" w:color="auto"/>
        <w:bottom w:val="none" w:sz="0" w:space="0" w:color="auto"/>
        <w:right w:val="none" w:sz="0" w:space="0" w:color="auto"/>
      </w:divBdr>
    </w:div>
    <w:div w:id="1305891467">
      <w:bodyDiv w:val="1"/>
      <w:marLeft w:val="0"/>
      <w:marRight w:val="0"/>
      <w:marTop w:val="0"/>
      <w:marBottom w:val="0"/>
      <w:divBdr>
        <w:top w:val="none" w:sz="0" w:space="0" w:color="auto"/>
        <w:left w:val="none" w:sz="0" w:space="0" w:color="auto"/>
        <w:bottom w:val="none" w:sz="0" w:space="0" w:color="auto"/>
        <w:right w:val="none" w:sz="0" w:space="0" w:color="auto"/>
      </w:divBdr>
    </w:div>
    <w:div w:id="1342464083">
      <w:bodyDiv w:val="1"/>
      <w:marLeft w:val="0"/>
      <w:marRight w:val="0"/>
      <w:marTop w:val="0"/>
      <w:marBottom w:val="0"/>
      <w:divBdr>
        <w:top w:val="none" w:sz="0" w:space="0" w:color="auto"/>
        <w:left w:val="none" w:sz="0" w:space="0" w:color="auto"/>
        <w:bottom w:val="none" w:sz="0" w:space="0" w:color="auto"/>
        <w:right w:val="none" w:sz="0" w:space="0" w:color="auto"/>
      </w:divBdr>
    </w:div>
    <w:div w:id="1574311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1: Attribute Framing</a:t>
            </a:r>
          </a:p>
        </c:rich>
      </c:tx>
      <c:layout/>
      <c:overlay val="0"/>
    </c:title>
    <c:autoTitleDeleted val="0"/>
    <c:plotArea>
      <c:layout/>
      <c:barChart>
        <c:barDir val="col"/>
        <c:grouping val="clustered"/>
        <c:varyColors val="0"/>
        <c:ser>
          <c:idx val="0"/>
          <c:order val="0"/>
          <c:tx>
            <c:strRef>
              <c:f>Sheet1!$B$1</c:f>
              <c:strCache>
                <c:ptCount val="1"/>
                <c:pt idx="0">
                  <c:v>Correct Frame</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-0.75</c:v>
                </c:pt>
                <c:pt idx="1">
                  <c:v>-0.94</c:v>
                </c:pt>
              </c:numCache>
            </c:numRef>
          </c:val>
        </c:ser>
        <c:ser>
          <c:idx val="1"/>
          <c:order val="1"/>
          <c:tx>
            <c:strRef>
              <c:f>Sheet1!$C$1</c:f>
              <c:strCache>
                <c:ptCount val="1"/>
                <c:pt idx="0">
                  <c:v>Incorrect Frame</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-0.64</c:v>
                </c:pt>
                <c:pt idx="1">
                  <c:v>-0.82</c:v>
                </c:pt>
              </c:numCache>
            </c:numRef>
          </c:val>
        </c:ser>
        <c:dLbls>
          <c:showLegendKey val="0"/>
          <c:showVal val="0"/>
          <c:showCatName val="0"/>
          <c:showSerName val="0"/>
          <c:showPercent val="0"/>
          <c:showBubbleSize val="0"/>
        </c:dLbls>
        <c:gapWidth val="150"/>
        <c:axId val="2140840872"/>
        <c:axId val="2028214744"/>
      </c:barChart>
      <c:catAx>
        <c:axId val="2140840872"/>
        <c:scaling>
          <c:orientation val="minMax"/>
        </c:scaling>
        <c:delete val="0"/>
        <c:axPos val="b"/>
        <c:title>
          <c:tx>
            <c:rich>
              <a:bodyPr/>
              <a:lstStyle/>
              <a:p>
                <a:pPr>
                  <a:defRPr/>
                </a:pPr>
                <a:r>
                  <a:rPr lang="en-US"/>
                  <a:t>Level</a:t>
                </a:r>
                <a:r>
                  <a:rPr lang="en-US" baseline="0"/>
                  <a:t> of Numeracy</a:t>
                </a:r>
                <a:endParaRPr lang="en-US"/>
              </a:p>
            </c:rich>
          </c:tx>
          <c:layout/>
          <c:overlay val="0"/>
        </c:title>
        <c:majorTickMark val="out"/>
        <c:minorTickMark val="none"/>
        <c:tickLblPos val="nextTo"/>
        <c:crossAx val="2028214744"/>
        <c:crosses val="autoZero"/>
        <c:auto val="1"/>
        <c:lblAlgn val="ctr"/>
        <c:lblOffset val="100"/>
        <c:noMultiLvlLbl val="0"/>
      </c:catAx>
      <c:valAx>
        <c:axId val="2028214744"/>
        <c:scaling>
          <c:orientation val="minMax"/>
        </c:scaling>
        <c:delete val="0"/>
        <c:axPos val="l"/>
        <c:majorGridlines/>
        <c:title>
          <c:tx>
            <c:rich>
              <a:bodyPr rot="-5400000" vert="horz"/>
              <a:lstStyle/>
              <a:p>
                <a:pPr>
                  <a:defRPr/>
                </a:pPr>
                <a:r>
                  <a:rPr lang="en-US"/>
                  <a:t>Mean</a:t>
                </a:r>
                <a:r>
                  <a:rPr lang="en-US" baseline="0"/>
                  <a:t> Value</a:t>
                </a:r>
              </a:p>
              <a:p>
                <a:pPr>
                  <a:defRPr/>
                </a:pPr>
                <a:r>
                  <a:rPr lang="en-US" baseline="0"/>
                  <a:t>(Judgement)</a:t>
                </a:r>
              </a:p>
            </c:rich>
          </c:tx>
          <c:layout/>
          <c:overlay val="0"/>
        </c:title>
        <c:numFmt formatCode="General" sourceLinked="1"/>
        <c:majorTickMark val="out"/>
        <c:minorTickMark val="none"/>
        <c:tickLblPos val="nextTo"/>
        <c:crossAx val="21408408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1: Attribute Framing</a:t>
            </a:r>
          </a:p>
        </c:rich>
      </c:tx>
      <c:layout/>
      <c:overlay val="0"/>
    </c:title>
    <c:autoTitleDeleted val="0"/>
    <c:plotArea>
      <c:layout/>
      <c:barChart>
        <c:barDir val="col"/>
        <c:grouping val="clustered"/>
        <c:varyColors val="0"/>
        <c:ser>
          <c:idx val="0"/>
          <c:order val="0"/>
          <c:tx>
            <c:strRef>
              <c:f>Sheet1!$B$1</c:f>
              <c:strCache>
                <c:ptCount val="1"/>
                <c:pt idx="0">
                  <c:v>Correct Frame</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35.36</c:v>
                </c:pt>
                <c:pt idx="1">
                  <c:v>37.62</c:v>
                </c:pt>
              </c:numCache>
            </c:numRef>
          </c:val>
        </c:ser>
        <c:ser>
          <c:idx val="1"/>
          <c:order val="1"/>
          <c:tx>
            <c:strRef>
              <c:f>Sheet1!$C$1</c:f>
              <c:strCache>
                <c:ptCount val="1"/>
                <c:pt idx="0">
                  <c:v>Incorrect Frame</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47.3</c:v>
                </c:pt>
                <c:pt idx="1">
                  <c:v>45.02</c:v>
                </c:pt>
              </c:numCache>
            </c:numRef>
          </c:val>
        </c:ser>
        <c:dLbls>
          <c:showLegendKey val="0"/>
          <c:showVal val="0"/>
          <c:showCatName val="0"/>
          <c:showSerName val="0"/>
          <c:showPercent val="0"/>
          <c:showBubbleSize val="0"/>
        </c:dLbls>
        <c:gapWidth val="150"/>
        <c:axId val="2140271640"/>
        <c:axId val="2028107608"/>
      </c:barChart>
      <c:catAx>
        <c:axId val="2140271640"/>
        <c:scaling>
          <c:orientation val="minMax"/>
        </c:scaling>
        <c:delete val="0"/>
        <c:axPos val="b"/>
        <c:title>
          <c:tx>
            <c:rich>
              <a:bodyPr/>
              <a:lstStyle/>
              <a:p>
                <a:pPr>
                  <a:defRPr/>
                </a:pPr>
                <a:r>
                  <a:rPr lang="en-US"/>
                  <a:t>Level</a:t>
                </a:r>
                <a:r>
                  <a:rPr lang="en-US" baseline="0"/>
                  <a:t> of Numeracy</a:t>
                </a:r>
                <a:endParaRPr lang="en-US"/>
              </a:p>
            </c:rich>
          </c:tx>
          <c:layout/>
          <c:overlay val="0"/>
        </c:title>
        <c:majorTickMark val="out"/>
        <c:minorTickMark val="none"/>
        <c:tickLblPos val="nextTo"/>
        <c:crossAx val="2028107608"/>
        <c:crosses val="autoZero"/>
        <c:auto val="1"/>
        <c:lblAlgn val="ctr"/>
        <c:lblOffset val="100"/>
        <c:noMultiLvlLbl val="0"/>
      </c:catAx>
      <c:valAx>
        <c:axId val="2028107608"/>
        <c:scaling>
          <c:orientation val="minMax"/>
        </c:scaling>
        <c:delete val="0"/>
        <c:axPos val="l"/>
        <c:majorGridlines/>
        <c:title>
          <c:tx>
            <c:rich>
              <a:bodyPr rot="-5400000" vert="horz"/>
              <a:lstStyle/>
              <a:p>
                <a:pPr>
                  <a:defRPr/>
                </a:pPr>
                <a:r>
                  <a:rPr lang="en-US"/>
                  <a:t>Mean</a:t>
                </a:r>
                <a:r>
                  <a:rPr lang="en-US" baseline="0"/>
                  <a:t> Value</a:t>
                </a:r>
              </a:p>
              <a:p>
                <a:pPr>
                  <a:defRPr/>
                </a:pPr>
                <a:r>
                  <a:rPr lang="en-US" baseline="0"/>
                  <a:t>(Time in Seconds)</a:t>
                </a:r>
              </a:p>
            </c:rich>
          </c:tx>
          <c:layout/>
          <c:overlay val="0"/>
        </c:title>
        <c:numFmt formatCode="General" sourceLinked="1"/>
        <c:majorTickMark val="out"/>
        <c:minorTickMark val="none"/>
        <c:tickLblPos val="nextTo"/>
        <c:crossAx val="21402716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2: Risk</a:t>
            </a:r>
            <a:r>
              <a:rPr lang="en-US" baseline="0"/>
              <a:t> Representation</a:t>
            </a:r>
            <a:endParaRPr lang="en-US"/>
          </a:p>
        </c:rich>
      </c:tx>
      <c:layout/>
      <c:overlay val="0"/>
    </c:title>
    <c:autoTitleDeleted val="0"/>
    <c:plotArea>
      <c:layout/>
      <c:barChart>
        <c:barDir val="col"/>
        <c:grouping val="clustered"/>
        <c:varyColors val="0"/>
        <c:ser>
          <c:idx val="0"/>
          <c:order val="0"/>
          <c:tx>
            <c:strRef>
              <c:f>Sheet1!$B$1</c:f>
              <c:strCache>
                <c:ptCount val="1"/>
                <c:pt idx="0">
                  <c:v>Frequency (10 out of 100)</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3.64</c:v>
                </c:pt>
                <c:pt idx="1">
                  <c:v>3.23</c:v>
                </c:pt>
              </c:numCache>
            </c:numRef>
          </c:val>
        </c:ser>
        <c:ser>
          <c:idx val="1"/>
          <c:order val="1"/>
          <c:tx>
            <c:strRef>
              <c:f>Sheet1!$C$1</c:f>
              <c:strCache>
                <c:ptCount val="1"/>
                <c:pt idx="0">
                  <c:v>Percentage (10%)</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3.33</c:v>
                </c:pt>
                <c:pt idx="1">
                  <c:v>3.26</c:v>
                </c:pt>
              </c:numCache>
            </c:numRef>
          </c:val>
        </c:ser>
        <c:dLbls>
          <c:showLegendKey val="0"/>
          <c:showVal val="0"/>
          <c:showCatName val="0"/>
          <c:showSerName val="0"/>
          <c:showPercent val="0"/>
          <c:showBubbleSize val="0"/>
        </c:dLbls>
        <c:gapWidth val="150"/>
        <c:axId val="2072348488"/>
        <c:axId val="2054252248"/>
      </c:barChart>
      <c:catAx>
        <c:axId val="2072348488"/>
        <c:scaling>
          <c:orientation val="minMax"/>
        </c:scaling>
        <c:delete val="0"/>
        <c:axPos val="b"/>
        <c:title>
          <c:tx>
            <c:rich>
              <a:bodyPr/>
              <a:lstStyle/>
              <a:p>
                <a:pPr>
                  <a:defRPr/>
                </a:pPr>
                <a:r>
                  <a:rPr lang="en-US"/>
                  <a:t>Level of Numeracy</a:t>
                </a:r>
              </a:p>
            </c:rich>
          </c:tx>
          <c:layout/>
          <c:overlay val="0"/>
        </c:title>
        <c:majorTickMark val="out"/>
        <c:minorTickMark val="none"/>
        <c:tickLblPos val="nextTo"/>
        <c:crossAx val="2054252248"/>
        <c:crosses val="autoZero"/>
        <c:auto val="1"/>
        <c:lblAlgn val="ctr"/>
        <c:lblOffset val="100"/>
        <c:noMultiLvlLbl val="0"/>
      </c:catAx>
      <c:valAx>
        <c:axId val="2054252248"/>
        <c:scaling>
          <c:orientation val="minMax"/>
          <c:min val="0.0"/>
        </c:scaling>
        <c:delete val="0"/>
        <c:axPos val="l"/>
        <c:majorGridlines/>
        <c:title>
          <c:tx>
            <c:rich>
              <a:bodyPr rot="-5400000" vert="horz"/>
              <a:lstStyle/>
              <a:p>
                <a:pPr>
                  <a:defRPr/>
                </a:pPr>
                <a:r>
                  <a:rPr lang="en-US"/>
                  <a:t>Mean Value</a:t>
                </a:r>
              </a:p>
              <a:p>
                <a:pPr>
                  <a:defRPr/>
                </a:pPr>
                <a:r>
                  <a:rPr lang="en-US"/>
                  <a:t>(Judgement)</a:t>
                </a:r>
              </a:p>
            </c:rich>
          </c:tx>
          <c:layout/>
          <c:overlay val="0"/>
        </c:title>
        <c:numFmt formatCode="General" sourceLinked="1"/>
        <c:majorTickMark val="out"/>
        <c:minorTickMark val="none"/>
        <c:tickLblPos val="nextTo"/>
        <c:crossAx val="207234848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2: Risk</a:t>
            </a:r>
            <a:r>
              <a:rPr lang="en-US" baseline="0"/>
              <a:t> Representation</a:t>
            </a:r>
            <a:endParaRPr lang="en-US"/>
          </a:p>
        </c:rich>
      </c:tx>
      <c:layout/>
      <c:overlay val="0"/>
    </c:title>
    <c:autoTitleDeleted val="0"/>
    <c:plotArea>
      <c:layout/>
      <c:barChart>
        <c:barDir val="col"/>
        <c:grouping val="clustered"/>
        <c:varyColors val="0"/>
        <c:ser>
          <c:idx val="0"/>
          <c:order val="0"/>
          <c:tx>
            <c:strRef>
              <c:f>Sheet1!$B$1</c:f>
              <c:strCache>
                <c:ptCount val="1"/>
                <c:pt idx="0">
                  <c:v>Frequency (10 out of 100)</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3.64</c:v>
                </c:pt>
                <c:pt idx="1">
                  <c:v>3.23</c:v>
                </c:pt>
              </c:numCache>
            </c:numRef>
          </c:val>
        </c:ser>
        <c:ser>
          <c:idx val="1"/>
          <c:order val="1"/>
          <c:tx>
            <c:strRef>
              <c:f>Sheet1!$C$1</c:f>
              <c:strCache>
                <c:ptCount val="1"/>
                <c:pt idx="0">
                  <c:v>Percentage (10%)</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3.33</c:v>
                </c:pt>
                <c:pt idx="1">
                  <c:v>3.26</c:v>
                </c:pt>
              </c:numCache>
            </c:numRef>
          </c:val>
        </c:ser>
        <c:dLbls>
          <c:showLegendKey val="0"/>
          <c:showVal val="0"/>
          <c:showCatName val="0"/>
          <c:showSerName val="0"/>
          <c:showPercent val="0"/>
          <c:showBubbleSize val="0"/>
        </c:dLbls>
        <c:gapWidth val="150"/>
        <c:axId val="2072611240"/>
        <c:axId val="2140841560"/>
      </c:barChart>
      <c:catAx>
        <c:axId val="2072611240"/>
        <c:scaling>
          <c:orientation val="minMax"/>
        </c:scaling>
        <c:delete val="0"/>
        <c:axPos val="b"/>
        <c:title>
          <c:tx>
            <c:rich>
              <a:bodyPr/>
              <a:lstStyle/>
              <a:p>
                <a:pPr>
                  <a:defRPr/>
                </a:pPr>
                <a:r>
                  <a:rPr lang="en-US"/>
                  <a:t>Level of Numeracy</a:t>
                </a:r>
              </a:p>
            </c:rich>
          </c:tx>
          <c:layout/>
          <c:overlay val="0"/>
        </c:title>
        <c:majorTickMark val="out"/>
        <c:minorTickMark val="none"/>
        <c:tickLblPos val="nextTo"/>
        <c:crossAx val="2140841560"/>
        <c:crosses val="autoZero"/>
        <c:auto val="1"/>
        <c:lblAlgn val="ctr"/>
        <c:lblOffset val="100"/>
        <c:noMultiLvlLbl val="0"/>
      </c:catAx>
      <c:valAx>
        <c:axId val="2140841560"/>
        <c:scaling>
          <c:orientation val="minMax"/>
        </c:scaling>
        <c:delete val="0"/>
        <c:axPos val="l"/>
        <c:majorGridlines/>
        <c:title>
          <c:tx>
            <c:rich>
              <a:bodyPr rot="-5400000" vert="horz"/>
              <a:lstStyle/>
              <a:p>
                <a:pPr>
                  <a:defRPr/>
                </a:pPr>
                <a:r>
                  <a:rPr lang="en-US"/>
                  <a:t>Mean Value</a:t>
                </a:r>
              </a:p>
              <a:p>
                <a:pPr>
                  <a:defRPr/>
                </a:pPr>
                <a:r>
                  <a:rPr lang="en-US"/>
                  <a:t>(Judgement)</a:t>
                </a:r>
              </a:p>
            </c:rich>
          </c:tx>
          <c:layout/>
          <c:overlay val="0"/>
        </c:title>
        <c:numFmt formatCode="General" sourceLinked="1"/>
        <c:majorTickMark val="out"/>
        <c:minorTickMark val="none"/>
        <c:tickLblPos val="nextTo"/>
        <c:crossAx val="20726112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2: Risk</a:t>
            </a:r>
            <a:r>
              <a:rPr lang="en-US" baseline="0"/>
              <a:t> Representation</a:t>
            </a:r>
            <a:endParaRPr lang="en-US"/>
          </a:p>
        </c:rich>
      </c:tx>
      <c:layout/>
      <c:overlay val="0"/>
    </c:title>
    <c:autoTitleDeleted val="0"/>
    <c:plotArea>
      <c:layout/>
      <c:barChart>
        <c:barDir val="col"/>
        <c:grouping val="clustered"/>
        <c:varyColors val="0"/>
        <c:ser>
          <c:idx val="0"/>
          <c:order val="0"/>
          <c:tx>
            <c:strRef>
              <c:f>Sheet1!$B$1</c:f>
              <c:strCache>
                <c:ptCount val="1"/>
                <c:pt idx="0">
                  <c:v>Frequency (10 out of 100)</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94.21</c:v>
                </c:pt>
                <c:pt idx="1">
                  <c:v>118.19</c:v>
                </c:pt>
              </c:numCache>
            </c:numRef>
          </c:val>
        </c:ser>
        <c:ser>
          <c:idx val="1"/>
          <c:order val="1"/>
          <c:tx>
            <c:strRef>
              <c:f>Sheet1!$C$1</c:f>
              <c:strCache>
                <c:ptCount val="1"/>
                <c:pt idx="0">
                  <c:v>Percentage (10%)</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88.21</c:v>
                </c:pt>
                <c:pt idx="1">
                  <c:v>116.97</c:v>
                </c:pt>
              </c:numCache>
            </c:numRef>
          </c:val>
        </c:ser>
        <c:dLbls>
          <c:showLegendKey val="0"/>
          <c:showVal val="0"/>
          <c:showCatName val="0"/>
          <c:showSerName val="0"/>
          <c:showPercent val="0"/>
          <c:showBubbleSize val="0"/>
        </c:dLbls>
        <c:gapWidth val="150"/>
        <c:axId val="2054177592"/>
        <c:axId val="2140583240"/>
      </c:barChart>
      <c:catAx>
        <c:axId val="2054177592"/>
        <c:scaling>
          <c:orientation val="minMax"/>
        </c:scaling>
        <c:delete val="0"/>
        <c:axPos val="b"/>
        <c:title>
          <c:tx>
            <c:rich>
              <a:bodyPr/>
              <a:lstStyle/>
              <a:p>
                <a:pPr>
                  <a:defRPr/>
                </a:pPr>
                <a:r>
                  <a:rPr lang="en-US"/>
                  <a:t>Level of Numeracy</a:t>
                </a:r>
              </a:p>
            </c:rich>
          </c:tx>
          <c:layout/>
          <c:overlay val="0"/>
        </c:title>
        <c:majorTickMark val="out"/>
        <c:minorTickMark val="none"/>
        <c:tickLblPos val="nextTo"/>
        <c:crossAx val="2140583240"/>
        <c:crosses val="autoZero"/>
        <c:auto val="1"/>
        <c:lblAlgn val="ctr"/>
        <c:lblOffset val="100"/>
        <c:noMultiLvlLbl val="0"/>
      </c:catAx>
      <c:valAx>
        <c:axId val="2140583240"/>
        <c:scaling>
          <c:orientation val="minMax"/>
        </c:scaling>
        <c:delete val="0"/>
        <c:axPos val="l"/>
        <c:majorGridlines/>
        <c:title>
          <c:tx>
            <c:rich>
              <a:bodyPr rot="-5400000" vert="horz"/>
              <a:lstStyle/>
              <a:p>
                <a:pPr>
                  <a:defRPr/>
                </a:pPr>
                <a:r>
                  <a:rPr lang="en-US"/>
                  <a:t>Mean Value</a:t>
                </a:r>
              </a:p>
              <a:p>
                <a:pPr>
                  <a:defRPr/>
                </a:pPr>
                <a:r>
                  <a:rPr lang="en-US"/>
                  <a:t>(Time</a:t>
                </a:r>
                <a:r>
                  <a:rPr lang="en-US" baseline="0"/>
                  <a:t> in Seconds</a:t>
                </a:r>
                <a:r>
                  <a:rPr lang="en-US"/>
                  <a:t>)</a:t>
                </a:r>
              </a:p>
            </c:rich>
          </c:tx>
          <c:layout/>
          <c:overlay val="0"/>
        </c:title>
        <c:numFmt formatCode="General" sourceLinked="1"/>
        <c:majorTickMark val="out"/>
        <c:minorTickMark val="none"/>
        <c:tickLblPos val="nextTo"/>
        <c:crossAx val="205417759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3: Affective</a:t>
            </a:r>
            <a:r>
              <a:rPr lang="en-US" baseline="0"/>
              <a:t> Information</a:t>
            </a:r>
            <a:endParaRPr lang="en-US"/>
          </a:p>
        </c:rich>
      </c:tx>
      <c:layout/>
      <c:overlay val="0"/>
    </c:title>
    <c:autoTitleDeleted val="0"/>
    <c:plotArea>
      <c:layout/>
      <c:barChart>
        <c:barDir val="col"/>
        <c:grouping val="clustered"/>
        <c:varyColors val="0"/>
        <c:ser>
          <c:idx val="0"/>
          <c:order val="0"/>
          <c:tx>
            <c:strRef>
              <c:f>Sheet1!$B$1</c:f>
              <c:strCache>
                <c:ptCount val="1"/>
                <c:pt idx="0">
                  <c:v>Jar of Choice</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0.00%</c:formatCode>
                <c:ptCount val="2"/>
                <c:pt idx="0">
                  <c:v>0.56</c:v>
                </c:pt>
                <c:pt idx="1">
                  <c:v>0.78</c:v>
                </c:pt>
              </c:numCache>
            </c:numRef>
          </c:val>
        </c:ser>
        <c:dLbls>
          <c:showLegendKey val="0"/>
          <c:showVal val="0"/>
          <c:showCatName val="0"/>
          <c:showSerName val="0"/>
          <c:showPercent val="0"/>
          <c:showBubbleSize val="0"/>
        </c:dLbls>
        <c:gapWidth val="150"/>
        <c:axId val="2140491448"/>
        <c:axId val="2140420232"/>
      </c:barChart>
      <c:catAx>
        <c:axId val="2140491448"/>
        <c:scaling>
          <c:orientation val="minMax"/>
        </c:scaling>
        <c:delete val="0"/>
        <c:axPos val="b"/>
        <c:title>
          <c:tx>
            <c:rich>
              <a:bodyPr/>
              <a:lstStyle/>
              <a:p>
                <a:pPr>
                  <a:defRPr/>
                </a:pPr>
                <a:r>
                  <a:rPr lang="en-US"/>
                  <a:t>Level of Numeracy</a:t>
                </a:r>
              </a:p>
            </c:rich>
          </c:tx>
          <c:layout/>
          <c:overlay val="0"/>
        </c:title>
        <c:majorTickMark val="out"/>
        <c:minorTickMark val="none"/>
        <c:tickLblPos val="nextTo"/>
        <c:crossAx val="2140420232"/>
        <c:crosses val="autoZero"/>
        <c:auto val="1"/>
        <c:lblAlgn val="ctr"/>
        <c:lblOffset val="100"/>
        <c:noMultiLvlLbl val="0"/>
      </c:catAx>
      <c:valAx>
        <c:axId val="2140420232"/>
        <c:scaling>
          <c:orientation val="minMax"/>
        </c:scaling>
        <c:delete val="0"/>
        <c:axPos val="l"/>
        <c:majorGridlines/>
        <c:title>
          <c:tx>
            <c:rich>
              <a:bodyPr rot="-5400000" vert="horz"/>
              <a:lstStyle/>
              <a:p>
                <a:pPr>
                  <a:defRPr/>
                </a:pPr>
                <a:r>
                  <a:rPr lang="en-US"/>
                  <a:t>Percentage</a:t>
                </a:r>
              </a:p>
            </c:rich>
          </c:tx>
          <c:layout/>
          <c:overlay val="0"/>
        </c:title>
        <c:numFmt formatCode="0.00%" sourceLinked="1"/>
        <c:majorTickMark val="out"/>
        <c:minorTickMark val="none"/>
        <c:tickLblPos val="nextTo"/>
        <c:crossAx val="2140491448"/>
        <c:crosses val="autoZero"/>
        <c:crossBetween val="between"/>
      </c:valAx>
    </c:plotArea>
    <c:legend>
      <c:legendPos val="r"/>
      <c:layout/>
      <c:overlay val="0"/>
      <c:spPr>
        <a:noFill/>
        <a:ln>
          <a:noFill/>
        </a:ln>
      </c:sp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 3: Affective</a:t>
            </a:r>
            <a:r>
              <a:rPr lang="en-US" baseline="0"/>
              <a:t> Information</a:t>
            </a:r>
            <a:endParaRPr lang="en-US"/>
          </a:p>
        </c:rich>
      </c:tx>
      <c:layout/>
      <c:overlay val="0"/>
    </c:title>
    <c:autoTitleDeleted val="0"/>
    <c:plotArea>
      <c:layout/>
      <c:barChart>
        <c:barDir val="col"/>
        <c:grouping val="clustered"/>
        <c:varyColors val="0"/>
        <c:ser>
          <c:idx val="0"/>
          <c:order val="0"/>
          <c:tx>
            <c:strRef>
              <c:f>Sheet1!$B$1</c:f>
              <c:strCache>
                <c:ptCount val="1"/>
                <c:pt idx="0">
                  <c:v>Jar of Choice</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24.48</c:v>
                </c:pt>
                <c:pt idx="1">
                  <c:v>34.21</c:v>
                </c:pt>
              </c:numCache>
            </c:numRef>
          </c:val>
        </c:ser>
        <c:dLbls>
          <c:showLegendKey val="0"/>
          <c:showVal val="0"/>
          <c:showCatName val="0"/>
          <c:showSerName val="0"/>
          <c:showPercent val="0"/>
          <c:showBubbleSize val="0"/>
        </c:dLbls>
        <c:gapWidth val="150"/>
        <c:axId val="2073249832"/>
        <c:axId val="2073699272"/>
      </c:barChart>
      <c:catAx>
        <c:axId val="2073249832"/>
        <c:scaling>
          <c:orientation val="minMax"/>
        </c:scaling>
        <c:delete val="0"/>
        <c:axPos val="b"/>
        <c:title>
          <c:tx>
            <c:rich>
              <a:bodyPr/>
              <a:lstStyle/>
              <a:p>
                <a:pPr>
                  <a:defRPr/>
                </a:pPr>
                <a:r>
                  <a:rPr lang="en-US"/>
                  <a:t>Level of Numeracy</a:t>
                </a:r>
              </a:p>
            </c:rich>
          </c:tx>
          <c:layout/>
          <c:overlay val="0"/>
        </c:title>
        <c:majorTickMark val="out"/>
        <c:minorTickMark val="none"/>
        <c:tickLblPos val="nextTo"/>
        <c:crossAx val="2073699272"/>
        <c:crosses val="autoZero"/>
        <c:auto val="1"/>
        <c:lblAlgn val="ctr"/>
        <c:lblOffset val="100"/>
        <c:noMultiLvlLbl val="0"/>
      </c:catAx>
      <c:valAx>
        <c:axId val="2073699272"/>
        <c:scaling>
          <c:orientation val="minMax"/>
        </c:scaling>
        <c:delete val="0"/>
        <c:axPos val="l"/>
        <c:majorGridlines/>
        <c:title>
          <c:tx>
            <c:rich>
              <a:bodyPr rot="-5400000" vert="horz"/>
              <a:lstStyle/>
              <a:p>
                <a:pPr>
                  <a:defRPr/>
                </a:pPr>
                <a:r>
                  <a:rPr lang="en-US"/>
                  <a:t>Mean Value</a:t>
                </a:r>
              </a:p>
              <a:p>
                <a:pPr>
                  <a:defRPr/>
                </a:pPr>
                <a:r>
                  <a:rPr lang="en-US"/>
                  <a:t>(Time in Seconds)</a:t>
                </a:r>
              </a:p>
            </c:rich>
          </c:tx>
          <c:layout/>
          <c:overlay val="0"/>
        </c:title>
        <c:numFmt formatCode="General" sourceLinked="1"/>
        <c:majorTickMark val="out"/>
        <c:minorTickMark val="none"/>
        <c:tickLblPos val="nextTo"/>
        <c:crossAx val="2073249832"/>
        <c:crosses val="autoZero"/>
        <c:crossBetween val="between"/>
      </c:valAx>
    </c:plotArea>
    <c:legend>
      <c:legendPos val="r"/>
      <c:layout/>
      <c:overlay val="0"/>
      <c:spPr>
        <a:noFill/>
        <a:ln>
          <a:noFill/>
        </a:ln>
      </c:sp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a:t>
            </a:r>
            <a:r>
              <a:rPr lang="en-US" baseline="0"/>
              <a:t> 4: </a:t>
            </a:r>
            <a:r>
              <a:rPr lang="en-US"/>
              <a:t>Affect and Betting</a:t>
            </a:r>
          </a:p>
        </c:rich>
      </c:tx>
      <c:overlay val="0"/>
    </c:title>
    <c:autoTitleDeleted val="0"/>
    <c:plotArea>
      <c:layout/>
      <c:barChart>
        <c:barDir val="col"/>
        <c:grouping val="clustered"/>
        <c:varyColors val="0"/>
        <c:ser>
          <c:idx val="0"/>
          <c:order val="0"/>
          <c:tx>
            <c:strRef>
              <c:f>Sheet1!$B$1</c:f>
              <c:strCache>
                <c:ptCount val="1"/>
                <c:pt idx="0">
                  <c:v>No Loss Bet</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5.769999999999999</c:v>
                </c:pt>
                <c:pt idx="1">
                  <c:v>5.7</c:v>
                </c:pt>
              </c:numCache>
            </c:numRef>
          </c:val>
        </c:ser>
        <c:ser>
          <c:idx val="1"/>
          <c:order val="1"/>
          <c:tx>
            <c:strRef>
              <c:f>Sheet1!$C$1</c:f>
              <c:strCache>
                <c:ptCount val="1"/>
                <c:pt idx="0">
                  <c:v>Small Loss Bet</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7.49</c:v>
                </c:pt>
                <c:pt idx="1">
                  <c:v>9.39</c:v>
                </c:pt>
              </c:numCache>
            </c:numRef>
          </c:val>
        </c:ser>
        <c:dLbls>
          <c:showLegendKey val="0"/>
          <c:showVal val="0"/>
          <c:showCatName val="0"/>
          <c:showSerName val="0"/>
          <c:showPercent val="0"/>
          <c:showBubbleSize val="0"/>
        </c:dLbls>
        <c:gapWidth val="150"/>
        <c:axId val="2140743048"/>
        <c:axId val="2055168904"/>
      </c:barChart>
      <c:catAx>
        <c:axId val="2140743048"/>
        <c:scaling>
          <c:orientation val="minMax"/>
        </c:scaling>
        <c:delete val="0"/>
        <c:axPos val="b"/>
        <c:title>
          <c:tx>
            <c:rich>
              <a:bodyPr/>
              <a:lstStyle/>
              <a:p>
                <a:pPr>
                  <a:defRPr/>
                </a:pPr>
                <a:r>
                  <a:rPr lang="en-US"/>
                  <a:t>Level of Numeracy</a:t>
                </a:r>
              </a:p>
            </c:rich>
          </c:tx>
          <c:overlay val="0"/>
        </c:title>
        <c:majorTickMark val="out"/>
        <c:minorTickMark val="none"/>
        <c:tickLblPos val="nextTo"/>
        <c:crossAx val="2055168904"/>
        <c:crosses val="autoZero"/>
        <c:auto val="1"/>
        <c:lblAlgn val="ctr"/>
        <c:lblOffset val="100"/>
        <c:noMultiLvlLbl val="0"/>
      </c:catAx>
      <c:valAx>
        <c:axId val="2055168904"/>
        <c:scaling>
          <c:orientation val="minMax"/>
        </c:scaling>
        <c:delete val="0"/>
        <c:axPos val="l"/>
        <c:majorGridlines/>
        <c:title>
          <c:tx>
            <c:rich>
              <a:bodyPr rot="-5400000" vert="horz"/>
              <a:lstStyle/>
              <a:p>
                <a:pPr>
                  <a:defRPr/>
                </a:pPr>
                <a:r>
                  <a:rPr lang="en-US"/>
                  <a:t>Mean Value</a:t>
                </a:r>
              </a:p>
              <a:p>
                <a:pPr>
                  <a:defRPr/>
                </a:pPr>
                <a:r>
                  <a:rPr lang="en-US"/>
                  <a:t>(Judgement)</a:t>
                </a:r>
              </a:p>
            </c:rich>
          </c:tx>
          <c:overlay val="0"/>
        </c:title>
        <c:numFmt formatCode="General" sourceLinked="1"/>
        <c:majorTickMark val="out"/>
        <c:minorTickMark val="none"/>
        <c:tickLblPos val="nextTo"/>
        <c:crossAx val="21407430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Study</a:t>
            </a:r>
            <a:r>
              <a:rPr lang="en-US" baseline="0"/>
              <a:t> 4: </a:t>
            </a:r>
            <a:r>
              <a:rPr lang="en-US"/>
              <a:t>Affect and Betting</a:t>
            </a:r>
          </a:p>
        </c:rich>
      </c:tx>
      <c:overlay val="0"/>
    </c:title>
    <c:autoTitleDeleted val="0"/>
    <c:plotArea>
      <c:layout/>
      <c:barChart>
        <c:barDir val="col"/>
        <c:grouping val="clustered"/>
        <c:varyColors val="0"/>
        <c:ser>
          <c:idx val="0"/>
          <c:order val="0"/>
          <c:tx>
            <c:strRef>
              <c:f>Sheet1!$B$1</c:f>
              <c:strCache>
                <c:ptCount val="1"/>
                <c:pt idx="0">
                  <c:v>No Loss Bet</c:v>
                </c:pt>
              </c:strCache>
            </c:strRef>
          </c:tx>
          <c:spPr>
            <a:solidFill>
              <a:schemeClr val="accent2">
                <a:lumMod val="75000"/>
              </a:schemeClr>
            </a:solidFill>
          </c:spPr>
          <c:invertIfNegative val="0"/>
          <c:cat>
            <c:strRef>
              <c:f>Sheet1!$A$2:$A$3</c:f>
              <c:strCache>
                <c:ptCount val="2"/>
                <c:pt idx="0">
                  <c:v>Low Numeracy</c:v>
                </c:pt>
                <c:pt idx="1">
                  <c:v>High Numeracy</c:v>
                </c:pt>
              </c:strCache>
            </c:strRef>
          </c:cat>
          <c:val>
            <c:numRef>
              <c:f>Sheet1!$B$2:$B$3</c:f>
              <c:numCache>
                <c:formatCode>General</c:formatCode>
                <c:ptCount val="2"/>
                <c:pt idx="0">
                  <c:v>22.27</c:v>
                </c:pt>
                <c:pt idx="1">
                  <c:v>30.34</c:v>
                </c:pt>
              </c:numCache>
            </c:numRef>
          </c:val>
        </c:ser>
        <c:ser>
          <c:idx val="1"/>
          <c:order val="1"/>
          <c:tx>
            <c:strRef>
              <c:f>Sheet1!$C$1</c:f>
              <c:strCache>
                <c:ptCount val="1"/>
                <c:pt idx="0">
                  <c:v>Small Loss Bet</c:v>
                </c:pt>
              </c:strCache>
            </c:strRef>
          </c:tx>
          <c:spPr>
            <a:solidFill>
              <a:schemeClr val="tx2"/>
            </a:solidFill>
          </c:spPr>
          <c:invertIfNegative val="0"/>
          <c:cat>
            <c:strRef>
              <c:f>Sheet1!$A$2:$A$3</c:f>
              <c:strCache>
                <c:ptCount val="2"/>
                <c:pt idx="0">
                  <c:v>Low Numeracy</c:v>
                </c:pt>
                <c:pt idx="1">
                  <c:v>High Numeracy</c:v>
                </c:pt>
              </c:strCache>
            </c:strRef>
          </c:cat>
          <c:val>
            <c:numRef>
              <c:f>Sheet1!$C$2:$C$3</c:f>
              <c:numCache>
                <c:formatCode>General</c:formatCode>
                <c:ptCount val="2"/>
                <c:pt idx="0">
                  <c:v>21.23</c:v>
                </c:pt>
                <c:pt idx="1">
                  <c:v>30.0</c:v>
                </c:pt>
              </c:numCache>
            </c:numRef>
          </c:val>
        </c:ser>
        <c:dLbls>
          <c:showLegendKey val="0"/>
          <c:showVal val="0"/>
          <c:showCatName val="0"/>
          <c:showSerName val="0"/>
          <c:showPercent val="0"/>
          <c:showBubbleSize val="0"/>
        </c:dLbls>
        <c:gapWidth val="150"/>
        <c:axId val="2140432184"/>
        <c:axId val="2054249128"/>
      </c:barChart>
      <c:catAx>
        <c:axId val="2140432184"/>
        <c:scaling>
          <c:orientation val="minMax"/>
        </c:scaling>
        <c:delete val="0"/>
        <c:axPos val="b"/>
        <c:title>
          <c:tx>
            <c:rich>
              <a:bodyPr/>
              <a:lstStyle/>
              <a:p>
                <a:pPr>
                  <a:defRPr/>
                </a:pPr>
                <a:r>
                  <a:rPr lang="en-US"/>
                  <a:t>Level of Numeracy</a:t>
                </a:r>
              </a:p>
            </c:rich>
          </c:tx>
          <c:overlay val="0"/>
        </c:title>
        <c:majorTickMark val="out"/>
        <c:minorTickMark val="none"/>
        <c:tickLblPos val="nextTo"/>
        <c:crossAx val="2054249128"/>
        <c:crosses val="autoZero"/>
        <c:auto val="1"/>
        <c:lblAlgn val="ctr"/>
        <c:lblOffset val="100"/>
        <c:noMultiLvlLbl val="0"/>
      </c:catAx>
      <c:valAx>
        <c:axId val="2054249128"/>
        <c:scaling>
          <c:orientation val="minMax"/>
        </c:scaling>
        <c:delete val="0"/>
        <c:axPos val="l"/>
        <c:majorGridlines/>
        <c:title>
          <c:tx>
            <c:rich>
              <a:bodyPr rot="-5400000" vert="horz"/>
              <a:lstStyle/>
              <a:p>
                <a:pPr>
                  <a:defRPr/>
                </a:pPr>
                <a:r>
                  <a:rPr lang="en-US"/>
                  <a:t>Mean Value</a:t>
                </a:r>
              </a:p>
              <a:p>
                <a:pPr>
                  <a:defRPr/>
                </a:pPr>
                <a:r>
                  <a:rPr lang="en-US"/>
                  <a:t>(Time in Seconds)</a:t>
                </a:r>
              </a:p>
            </c:rich>
          </c:tx>
          <c:overlay val="0"/>
        </c:title>
        <c:numFmt formatCode="General" sourceLinked="1"/>
        <c:majorTickMark val="out"/>
        <c:minorTickMark val="none"/>
        <c:tickLblPos val="nextTo"/>
        <c:crossAx val="21404321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10</Pages>
  <Words>1784</Words>
  <Characters>10169</Characters>
  <Application>Microsoft Macintosh Word</Application>
  <DocSecurity>0</DocSecurity>
  <Lines>84</Lines>
  <Paragraphs>23</Paragraphs>
  <ScaleCrop>false</ScaleCrop>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161</cp:revision>
  <dcterms:created xsi:type="dcterms:W3CDTF">2017-06-13T15:23:00Z</dcterms:created>
  <dcterms:modified xsi:type="dcterms:W3CDTF">2017-07-26T01:50:00Z</dcterms:modified>
</cp:coreProperties>
</file>